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C65" w14:textId="27B175D0" w:rsidR="000B5E42" w:rsidRPr="009E719E" w:rsidRDefault="00813B56" w:rsidP="0007286B">
      <w:pPr>
        <w:jc w:val="both"/>
        <w:rPr>
          <w:rFonts w:cs="Arial"/>
          <w:b/>
          <w:bCs/>
          <w:color w:val="000000"/>
          <w:sz w:val="32"/>
          <w:szCs w:val="32"/>
        </w:rPr>
      </w:pPr>
      <w:r w:rsidRPr="009E719E">
        <w:rPr>
          <w:rFonts w:cs="Arial"/>
          <w:b/>
          <w:bCs/>
          <w:color w:val="000000"/>
          <w:sz w:val="32"/>
          <w:szCs w:val="32"/>
        </w:rPr>
        <w:t xml:space="preserve">Gedling Borough Council; </w:t>
      </w:r>
      <w:r w:rsidR="00B32D57">
        <w:rPr>
          <w:rFonts w:cs="Arial"/>
          <w:b/>
          <w:bCs/>
          <w:color w:val="000000"/>
          <w:sz w:val="32"/>
          <w:szCs w:val="32"/>
        </w:rPr>
        <w:t>Pay Policy Sta</w:t>
      </w:r>
      <w:r w:rsidR="00A24B2D">
        <w:rPr>
          <w:rFonts w:cs="Arial"/>
          <w:b/>
          <w:bCs/>
          <w:color w:val="000000"/>
          <w:sz w:val="32"/>
          <w:szCs w:val="32"/>
        </w:rPr>
        <w:t xml:space="preserve">tement </w:t>
      </w:r>
      <w:r w:rsidR="00A24B2D" w:rsidRPr="00661757">
        <w:rPr>
          <w:rFonts w:cs="Arial"/>
          <w:b/>
          <w:bCs/>
          <w:color w:val="000000" w:themeColor="text1"/>
          <w:sz w:val="32"/>
          <w:szCs w:val="32"/>
        </w:rPr>
        <w:t>202</w:t>
      </w:r>
      <w:r w:rsidR="00C85ACD">
        <w:rPr>
          <w:rFonts w:cs="Arial"/>
          <w:b/>
          <w:bCs/>
          <w:color w:val="000000" w:themeColor="text1"/>
          <w:sz w:val="32"/>
          <w:szCs w:val="32"/>
        </w:rPr>
        <w:t>4</w:t>
      </w:r>
      <w:r w:rsidR="000B5E42" w:rsidRPr="00661757">
        <w:rPr>
          <w:rFonts w:cs="Arial"/>
          <w:b/>
          <w:bCs/>
          <w:color w:val="000000" w:themeColor="text1"/>
          <w:sz w:val="32"/>
          <w:szCs w:val="32"/>
        </w:rPr>
        <w:t>-</w:t>
      </w:r>
      <w:r w:rsidR="00A26CA8" w:rsidRPr="00661757">
        <w:rPr>
          <w:rFonts w:cs="Arial"/>
          <w:b/>
          <w:bCs/>
          <w:color w:val="000000" w:themeColor="text1"/>
          <w:sz w:val="32"/>
          <w:szCs w:val="32"/>
        </w:rPr>
        <w:t>2</w:t>
      </w:r>
      <w:r w:rsidR="00C85ACD">
        <w:rPr>
          <w:rFonts w:cs="Arial"/>
          <w:b/>
          <w:bCs/>
          <w:color w:val="000000" w:themeColor="text1"/>
          <w:sz w:val="32"/>
          <w:szCs w:val="32"/>
        </w:rPr>
        <w:t>5</w:t>
      </w:r>
    </w:p>
    <w:p w14:paraId="40429737" w14:textId="77777777" w:rsidR="001A0B9A" w:rsidRPr="009E719E" w:rsidRDefault="001A0B9A" w:rsidP="0007286B">
      <w:pPr>
        <w:jc w:val="both"/>
        <w:rPr>
          <w:rFonts w:cs="Arial"/>
          <w:b/>
          <w:bCs/>
          <w:color w:val="000000"/>
          <w:sz w:val="32"/>
          <w:szCs w:val="32"/>
        </w:rPr>
      </w:pPr>
    </w:p>
    <w:p w14:paraId="55B001BB" w14:textId="77777777" w:rsidR="000B5E42" w:rsidRPr="009E719E" w:rsidRDefault="000B5E42" w:rsidP="00D32888">
      <w:pPr>
        <w:numPr>
          <w:ilvl w:val="0"/>
          <w:numId w:val="5"/>
        </w:numPr>
        <w:rPr>
          <w:rFonts w:cs="Arial"/>
          <w:b/>
          <w:color w:val="000000"/>
          <w:szCs w:val="24"/>
        </w:rPr>
      </w:pPr>
      <w:r w:rsidRPr="009E719E">
        <w:rPr>
          <w:rFonts w:cs="Arial"/>
          <w:b/>
          <w:color w:val="000000"/>
          <w:szCs w:val="24"/>
        </w:rPr>
        <w:t>Introduction</w:t>
      </w:r>
    </w:p>
    <w:p w14:paraId="5C3F3A39" w14:textId="77777777" w:rsidR="001F5D9D" w:rsidRDefault="00DF103A" w:rsidP="00F30599">
      <w:pPr>
        <w:ind w:left="426"/>
        <w:rPr>
          <w:rFonts w:cs="Arial"/>
          <w:color w:val="000000"/>
          <w:szCs w:val="24"/>
          <w:lang w:val="en" w:eastAsia="en-GB"/>
        </w:rPr>
      </w:pPr>
      <w:r w:rsidRPr="009E719E">
        <w:rPr>
          <w:rFonts w:cs="Arial"/>
          <w:color w:val="000000"/>
          <w:szCs w:val="24"/>
        </w:rPr>
        <w:t>Section 38 of the Localism</w:t>
      </w:r>
      <w:r w:rsidRPr="004A6204">
        <w:rPr>
          <w:rFonts w:cs="Arial"/>
          <w:szCs w:val="24"/>
        </w:rPr>
        <w:t xml:space="preserve"> Act 2011 requires local authorities to publish a Pay Policy Statement by 31 March each year. </w:t>
      </w:r>
      <w:r w:rsidRPr="004A6204">
        <w:rPr>
          <w:rFonts w:cs="Arial"/>
          <w:color w:val="000000"/>
          <w:szCs w:val="24"/>
          <w:lang w:val="en" w:eastAsia="en-GB"/>
        </w:rPr>
        <w:t>The purpose of the Statement is to increase accountability in relation to payments made to senior members of local authority staff by enabling public scrutiny.</w:t>
      </w:r>
      <w:r w:rsidR="001F5D9D">
        <w:rPr>
          <w:rFonts w:cs="Arial"/>
          <w:color w:val="000000"/>
          <w:szCs w:val="24"/>
          <w:lang w:val="en" w:eastAsia="en-GB"/>
        </w:rPr>
        <w:t xml:space="preserve">  </w:t>
      </w:r>
    </w:p>
    <w:p w14:paraId="00A98E01" w14:textId="77777777" w:rsidR="001F5D9D" w:rsidRDefault="001F5D9D" w:rsidP="00F30599">
      <w:pPr>
        <w:ind w:left="426"/>
        <w:rPr>
          <w:rFonts w:cs="Arial"/>
          <w:color w:val="000000"/>
          <w:szCs w:val="24"/>
          <w:lang w:val="en" w:eastAsia="en-GB"/>
        </w:rPr>
      </w:pPr>
    </w:p>
    <w:p w14:paraId="03B9620E" w14:textId="77777777" w:rsidR="00011498" w:rsidRDefault="00011498" w:rsidP="00F30599">
      <w:pPr>
        <w:ind w:left="426"/>
        <w:rPr>
          <w:rFonts w:cs="Arial"/>
          <w:szCs w:val="24"/>
          <w:lang w:val="en" w:eastAsia="en-GB"/>
        </w:rPr>
      </w:pPr>
      <w:r>
        <w:rPr>
          <w:rFonts w:cs="Arial"/>
          <w:color w:val="000000"/>
          <w:szCs w:val="24"/>
          <w:lang w:val="en" w:eastAsia="en-GB"/>
        </w:rPr>
        <w:t>The Pay Policy Statement has been drafted not only to meet the requirements of the Localism Act, but also is designed to</w:t>
      </w:r>
      <w:r w:rsidR="00A72FDC">
        <w:rPr>
          <w:rFonts w:cs="Arial"/>
          <w:color w:val="000000"/>
          <w:szCs w:val="24"/>
          <w:lang w:val="en" w:eastAsia="en-GB"/>
        </w:rPr>
        <w:t xml:space="preserve"> </w:t>
      </w:r>
      <w:r>
        <w:rPr>
          <w:rFonts w:cs="Arial"/>
          <w:color w:val="000000"/>
          <w:szCs w:val="24"/>
          <w:lang w:val="en" w:eastAsia="en-GB"/>
        </w:rPr>
        <w:t>reflect the principles of the Code of Recommended Practice for Local Authorities on Data Transparency</w:t>
      </w:r>
      <w:r w:rsidR="0041744E">
        <w:rPr>
          <w:rFonts w:cs="Arial"/>
          <w:color w:val="000000"/>
          <w:szCs w:val="24"/>
          <w:lang w:val="en" w:eastAsia="en-GB"/>
        </w:rPr>
        <w:t xml:space="preserve"> (updated in 201</w:t>
      </w:r>
      <w:r w:rsidR="003A102C">
        <w:rPr>
          <w:rFonts w:cs="Arial"/>
          <w:color w:val="000000"/>
          <w:szCs w:val="24"/>
          <w:lang w:val="en" w:eastAsia="en-GB"/>
        </w:rPr>
        <w:t>5</w:t>
      </w:r>
      <w:r w:rsidR="0041744E">
        <w:rPr>
          <w:rFonts w:cs="Arial"/>
          <w:color w:val="000000"/>
          <w:szCs w:val="24"/>
          <w:lang w:val="en" w:eastAsia="en-GB"/>
        </w:rPr>
        <w:t>)</w:t>
      </w:r>
      <w:r w:rsidR="00A72FDC">
        <w:rPr>
          <w:rFonts w:cs="Arial"/>
          <w:color w:val="000000"/>
          <w:szCs w:val="24"/>
          <w:lang w:val="en" w:eastAsia="en-GB"/>
        </w:rPr>
        <w:t xml:space="preserve">, the Accounts and Audit (England) Regulations 2011 </w:t>
      </w:r>
      <w:r>
        <w:rPr>
          <w:rFonts w:cs="Arial"/>
          <w:color w:val="000000"/>
          <w:szCs w:val="24"/>
          <w:lang w:val="en" w:eastAsia="en-GB"/>
        </w:rPr>
        <w:t xml:space="preserve">and aspects of good practice highlighted by the Local Government Association and the Association of Local Authority Chief </w:t>
      </w:r>
      <w:r w:rsidRPr="007F7114">
        <w:rPr>
          <w:rFonts w:cs="Arial"/>
          <w:szCs w:val="24"/>
          <w:lang w:val="en" w:eastAsia="en-GB"/>
        </w:rPr>
        <w:t>Executives.</w:t>
      </w:r>
      <w:r w:rsidR="00436291" w:rsidRPr="007F7114">
        <w:rPr>
          <w:rFonts w:cs="Arial"/>
          <w:szCs w:val="24"/>
          <w:lang w:val="en" w:eastAsia="en-GB"/>
        </w:rPr>
        <w:t xml:space="preserve">  Furthermore, th</w:t>
      </w:r>
      <w:r w:rsidR="00A26CA8">
        <w:rPr>
          <w:rFonts w:cs="Arial"/>
          <w:szCs w:val="24"/>
          <w:lang w:val="en" w:eastAsia="en-GB"/>
        </w:rPr>
        <w:t>e</w:t>
      </w:r>
      <w:r w:rsidR="00436291" w:rsidRPr="007F7114">
        <w:rPr>
          <w:rFonts w:cs="Arial"/>
          <w:szCs w:val="24"/>
          <w:lang w:val="en" w:eastAsia="en-GB"/>
        </w:rPr>
        <w:t xml:space="preserve"> </w:t>
      </w:r>
      <w:r w:rsidR="00A26CA8">
        <w:rPr>
          <w:rFonts w:cs="Arial"/>
          <w:szCs w:val="24"/>
          <w:lang w:val="en" w:eastAsia="en-GB"/>
        </w:rPr>
        <w:t>S</w:t>
      </w:r>
      <w:r w:rsidR="00436291" w:rsidRPr="007F7114">
        <w:rPr>
          <w:rFonts w:cs="Arial"/>
          <w:szCs w:val="24"/>
          <w:lang w:val="en" w:eastAsia="en-GB"/>
        </w:rPr>
        <w:t xml:space="preserve">tatement also </w:t>
      </w:r>
      <w:r w:rsidR="009970A1">
        <w:rPr>
          <w:rFonts w:cs="Arial"/>
          <w:szCs w:val="24"/>
          <w:lang w:val="en" w:eastAsia="en-GB"/>
        </w:rPr>
        <w:t>has regard to</w:t>
      </w:r>
      <w:r w:rsidR="009970A1" w:rsidRPr="007F7114">
        <w:rPr>
          <w:rFonts w:cs="Arial"/>
          <w:szCs w:val="24"/>
          <w:lang w:val="en" w:eastAsia="en-GB"/>
        </w:rPr>
        <w:t xml:space="preserve"> </w:t>
      </w:r>
      <w:r w:rsidR="00436291" w:rsidRPr="007F7114">
        <w:rPr>
          <w:rFonts w:cs="Arial"/>
          <w:szCs w:val="24"/>
          <w:lang w:val="en" w:eastAsia="en-GB"/>
        </w:rPr>
        <w:t>the guidance made available in February 2013 by the Department for Communities and Local Government in respect to “openness and accountability” as described in section 40 of the Localism Act.</w:t>
      </w:r>
    </w:p>
    <w:p w14:paraId="79F37492" w14:textId="77777777" w:rsidR="006F7E33" w:rsidRDefault="006F7E33" w:rsidP="00F30599">
      <w:pPr>
        <w:ind w:left="426"/>
        <w:rPr>
          <w:rFonts w:cs="Arial"/>
          <w:szCs w:val="24"/>
          <w:lang w:val="en" w:eastAsia="en-GB"/>
        </w:rPr>
      </w:pPr>
    </w:p>
    <w:p w14:paraId="0BCC074D" w14:textId="77777777" w:rsidR="006F7E33" w:rsidRPr="009E19B7" w:rsidRDefault="006F7E33" w:rsidP="00F30599">
      <w:pPr>
        <w:ind w:left="426"/>
        <w:rPr>
          <w:rFonts w:cs="Arial"/>
          <w:color w:val="FF0000"/>
          <w:szCs w:val="24"/>
          <w:lang w:val="en" w:eastAsia="en-GB"/>
        </w:rPr>
      </w:pPr>
      <w:r>
        <w:rPr>
          <w:rFonts w:cs="Arial"/>
          <w:color w:val="000000"/>
          <w:szCs w:val="24"/>
          <w:lang w:val="en" w:eastAsia="en-GB"/>
        </w:rPr>
        <w:t>The Statement is also used to publish Gender Pay Gap information required under t</w:t>
      </w:r>
      <w:r w:rsidRPr="002E2D6B">
        <w:rPr>
          <w:rFonts w:cs="Arial"/>
          <w:color w:val="000000"/>
          <w:szCs w:val="24"/>
          <w:lang w:val="en" w:eastAsia="en-GB"/>
        </w:rPr>
        <w:t>he Equality Act 2010 (Gender Pay Gap Information) Regulations 2017</w:t>
      </w:r>
      <w:r>
        <w:rPr>
          <w:rFonts w:cs="Arial"/>
          <w:color w:val="000000"/>
          <w:szCs w:val="24"/>
          <w:lang w:val="en" w:eastAsia="en-GB"/>
        </w:rPr>
        <w:t xml:space="preserve"> and information relating to time spent on support of recognised trade unions as required by the </w:t>
      </w:r>
      <w:r w:rsidRPr="00F10180">
        <w:rPr>
          <w:rFonts w:cs="Arial"/>
          <w:color w:val="000000"/>
          <w:szCs w:val="24"/>
          <w:lang w:val="en" w:eastAsia="en-GB"/>
        </w:rPr>
        <w:t>Trade Union (Facility Time Publication Requirements) Regulations 2017</w:t>
      </w:r>
      <w:r>
        <w:rPr>
          <w:rFonts w:cs="Arial"/>
          <w:color w:val="000000"/>
          <w:szCs w:val="24"/>
          <w:lang w:val="en" w:eastAsia="en-GB"/>
        </w:rPr>
        <w:t>.</w:t>
      </w:r>
    </w:p>
    <w:p w14:paraId="2D40CBBF" w14:textId="77777777" w:rsidR="00D97252" w:rsidRDefault="00D97252" w:rsidP="00F30599">
      <w:pPr>
        <w:ind w:left="426"/>
        <w:rPr>
          <w:rFonts w:cs="Arial"/>
          <w:color w:val="000000"/>
          <w:szCs w:val="24"/>
          <w:lang w:val="en" w:eastAsia="en-GB"/>
        </w:rPr>
      </w:pPr>
    </w:p>
    <w:p w14:paraId="29D52FC3" w14:textId="77777777" w:rsidR="00D97252" w:rsidRPr="00D97252" w:rsidRDefault="00D97252" w:rsidP="00D32888">
      <w:pPr>
        <w:numPr>
          <w:ilvl w:val="0"/>
          <w:numId w:val="5"/>
        </w:numPr>
        <w:rPr>
          <w:rFonts w:cs="Arial"/>
          <w:b/>
          <w:szCs w:val="24"/>
        </w:rPr>
      </w:pPr>
      <w:r w:rsidRPr="00D97252">
        <w:rPr>
          <w:rFonts w:cs="Arial"/>
          <w:b/>
          <w:color w:val="000000"/>
          <w:szCs w:val="24"/>
          <w:lang w:val="en" w:eastAsia="en-GB"/>
        </w:rPr>
        <w:t xml:space="preserve">Pay Policy </w:t>
      </w:r>
      <w:proofErr w:type="gramStart"/>
      <w:r w:rsidRPr="00D97252">
        <w:rPr>
          <w:rFonts w:cs="Arial"/>
          <w:b/>
          <w:color w:val="000000"/>
          <w:szCs w:val="24"/>
          <w:lang w:val="en" w:eastAsia="en-GB"/>
        </w:rPr>
        <w:t>Statement;</w:t>
      </w:r>
      <w:proofErr w:type="gramEnd"/>
      <w:r w:rsidRPr="00D97252">
        <w:rPr>
          <w:rFonts w:cs="Arial"/>
          <w:b/>
          <w:color w:val="000000"/>
          <w:szCs w:val="24"/>
          <w:lang w:val="en" w:eastAsia="en-GB"/>
        </w:rPr>
        <w:t xml:space="preserve"> Executive Summary</w:t>
      </w:r>
    </w:p>
    <w:p w14:paraId="7296095A" w14:textId="6CAB0D02" w:rsidR="00644A98" w:rsidRDefault="00644A98" w:rsidP="00644A98">
      <w:pPr>
        <w:ind w:left="360"/>
        <w:rPr>
          <w:rFonts w:cs="Arial"/>
          <w:szCs w:val="24"/>
        </w:rPr>
      </w:pPr>
      <w:r>
        <w:rPr>
          <w:rFonts w:cs="Arial"/>
          <w:szCs w:val="24"/>
        </w:rPr>
        <w:t xml:space="preserve">Details necessary for publication are explored fully in this Pay Policy Statement in sections three and four.  The Executive Summary does not reflect all information required or </w:t>
      </w:r>
      <w:r w:rsidRPr="00710FFC">
        <w:rPr>
          <w:rFonts w:cs="Arial"/>
          <w:szCs w:val="24"/>
        </w:rPr>
        <w:t xml:space="preserve">recommended in the legislation and guidance described in the introduction above; however, it is designed to show key information in a simple, digestible format. </w:t>
      </w:r>
      <w:r w:rsidR="00672C22" w:rsidRPr="00710FFC">
        <w:rPr>
          <w:rFonts w:cs="Arial"/>
          <w:szCs w:val="24"/>
        </w:rPr>
        <w:t>Unless otherwise stated, d</w:t>
      </w:r>
      <w:r w:rsidR="007B7A9B" w:rsidRPr="00710FFC">
        <w:rPr>
          <w:rFonts w:cs="Arial"/>
          <w:szCs w:val="24"/>
        </w:rPr>
        <w:t>ata</w:t>
      </w:r>
      <w:r w:rsidR="00472D17" w:rsidRPr="00710FFC">
        <w:rPr>
          <w:rFonts w:cs="Arial"/>
          <w:szCs w:val="24"/>
        </w:rPr>
        <w:t xml:space="preserve"> in these tables</w:t>
      </w:r>
      <w:r w:rsidR="007B7A9B" w:rsidRPr="00710FFC">
        <w:rPr>
          <w:rFonts w:cs="Arial"/>
          <w:szCs w:val="24"/>
        </w:rPr>
        <w:t xml:space="preserve"> is current </w:t>
      </w:r>
      <w:proofErr w:type="gramStart"/>
      <w:r w:rsidR="007B7A9B" w:rsidRPr="00710FFC">
        <w:rPr>
          <w:rFonts w:cs="Arial"/>
          <w:szCs w:val="24"/>
        </w:rPr>
        <w:t>at</w:t>
      </w:r>
      <w:proofErr w:type="gramEnd"/>
      <w:r w:rsidR="007B7A9B" w:rsidRPr="00710FFC">
        <w:rPr>
          <w:rFonts w:cs="Arial"/>
          <w:szCs w:val="24"/>
        </w:rPr>
        <w:t xml:space="preserve"> 3</w:t>
      </w:r>
      <w:r w:rsidR="00916C1B" w:rsidRPr="00710FFC">
        <w:rPr>
          <w:rFonts w:cs="Arial"/>
          <w:szCs w:val="24"/>
        </w:rPr>
        <w:t>0 November</w:t>
      </w:r>
      <w:r w:rsidR="007B7A9B" w:rsidRPr="00710FFC">
        <w:rPr>
          <w:rFonts w:cs="Arial"/>
          <w:szCs w:val="24"/>
        </w:rPr>
        <w:t xml:space="preserve"> 20</w:t>
      </w:r>
      <w:r w:rsidR="0003276B" w:rsidRPr="00710FFC">
        <w:rPr>
          <w:rFonts w:cs="Arial"/>
          <w:szCs w:val="24"/>
        </w:rPr>
        <w:t>2</w:t>
      </w:r>
      <w:r w:rsidR="002C433A" w:rsidRPr="00710FFC">
        <w:rPr>
          <w:rFonts w:cs="Arial"/>
          <w:szCs w:val="24"/>
        </w:rPr>
        <w:t>3</w:t>
      </w:r>
      <w:r w:rsidR="007B7A9B" w:rsidRPr="00710FFC">
        <w:rPr>
          <w:rFonts w:cs="Arial"/>
          <w:szCs w:val="24"/>
        </w:rPr>
        <w:t>.</w:t>
      </w:r>
    </w:p>
    <w:p w14:paraId="00F1C6C6" w14:textId="77777777" w:rsidR="003846FC" w:rsidRDefault="003846FC" w:rsidP="00644A98">
      <w:pPr>
        <w:ind w:left="360"/>
        <w:rPr>
          <w:rFonts w:cs="Arial"/>
          <w:szCs w:val="24"/>
        </w:rPr>
      </w:pPr>
    </w:p>
    <w:p w14:paraId="56633DD2" w14:textId="77777777" w:rsidR="009A4C79" w:rsidRPr="00192D78" w:rsidRDefault="00192D78" w:rsidP="00644A98">
      <w:pPr>
        <w:ind w:left="360"/>
        <w:rPr>
          <w:rFonts w:cs="Arial"/>
          <w:b/>
          <w:szCs w:val="24"/>
        </w:rPr>
      </w:pPr>
      <w:r w:rsidRPr="00192D78">
        <w:rPr>
          <w:rFonts w:cs="Arial"/>
          <w:b/>
          <w:szCs w:val="24"/>
        </w:rPr>
        <w:t xml:space="preserve">General </w:t>
      </w:r>
      <w:r w:rsidR="00C57281">
        <w:rPr>
          <w:rFonts w:cs="Arial"/>
          <w:b/>
          <w:szCs w:val="24"/>
        </w:rPr>
        <w:t xml:space="preserve">Council pay </w:t>
      </w:r>
      <w:proofErr w:type="gramStart"/>
      <w:r w:rsidR="00C57281">
        <w:rPr>
          <w:rFonts w:cs="Arial"/>
          <w:b/>
          <w:szCs w:val="24"/>
        </w:rPr>
        <w:t>data</w:t>
      </w:r>
      <w:proofErr w:type="gramEnd"/>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4961"/>
      </w:tblGrid>
      <w:tr w:rsidR="00C57281" w:rsidRPr="00872790" w14:paraId="1B05A0AC" w14:textId="77777777" w:rsidTr="00A534DB">
        <w:tc>
          <w:tcPr>
            <w:tcW w:w="4143" w:type="dxa"/>
          </w:tcPr>
          <w:p w14:paraId="38477B5B" w14:textId="77777777" w:rsidR="00C57281" w:rsidRPr="00872790" w:rsidRDefault="00C57281" w:rsidP="00644A98">
            <w:pPr>
              <w:rPr>
                <w:rFonts w:cs="Arial"/>
                <w:szCs w:val="24"/>
              </w:rPr>
            </w:pPr>
            <w:r w:rsidRPr="00872790">
              <w:rPr>
                <w:rFonts w:cs="Arial"/>
                <w:szCs w:val="24"/>
              </w:rPr>
              <w:t>Lowest rate of pay</w:t>
            </w:r>
            <w:r w:rsidR="00A534DB">
              <w:rPr>
                <w:rFonts w:cs="Arial"/>
                <w:szCs w:val="24"/>
              </w:rPr>
              <w:t xml:space="preserve"> </w:t>
            </w:r>
            <w:r w:rsidR="00A534DB" w:rsidRPr="00A534DB">
              <w:rPr>
                <w:rFonts w:cs="Arial"/>
                <w:sz w:val="20"/>
              </w:rPr>
              <w:t>(</w:t>
            </w:r>
            <w:proofErr w:type="spellStart"/>
            <w:r w:rsidR="00A534DB" w:rsidRPr="00A534DB">
              <w:rPr>
                <w:rFonts w:cs="Arial"/>
                <w:sz w:val="20"/>
              </w:rPr>
              <w:t>Exc</w:t>
            </w:r>
            <w:proofErr w:type="spellEnd"/>
            <w:r w:rsidR="00A534DB" w:rsidRPr="00A534DB">
              <w:rPr>
                <w:rFonts w:cs="Arial"/>
                <w:sz w:val="20"/>
              </w:rPr>
              <w:t xml:space="preserve"> Training Grade)</w:t>
            </w:r>
          </w:p>
        </w:tc>
        <w:tc>
          <w:tcPr>
            <w:tcW w:w="4961" w:type="dxa"/>
          </w:tcPr>
          <w:p w14:paraId="29541DBD" w14:textId="44DE3E9E" w:rsidR="00C57281" w:rsidRPr="00872790" w:rsidRDefault="00C57281" w:rsidP="0031199F">
            <w:pPr>
              <w:rPr>
                <w:rFonts w:cs="Arial"/>
                <w:szCs w:val="24"/>
              </w:rPr>
            </w:pPr>
            <w:r w:rsidRPr="00872790">
              <w:rPr>
                <w:rFonts w:cs="Arial"/>
                <w:szCs w:val="24"/>
              </w:rPr>
              <w:t>£</w:t>
            </w:r>
            <w:r w:rsidR="0031199F">
              <w:rPr>
                <w:rFonts w:cs="Arial"/>
                <w:szCs w:val="24"/>
              </w:rPr>
              <w:t>2</w:t>
            </w:r>
            <w:r w:rsidR="002C433A">
              <w:rPr>
                <w:rFonts w:cs="Arial"/>
                <w:szCs w:val="24"/>
              </w:rPr>
              <w:t>3,500</w:t>
            </w:r>
            <w:r w:rsidR="00AD1FE0">
              <w:rPr>
                <w:rFonts w:cs="Arial"/>
                <w:szCs w:val="24"/>
              </w:rPr>
              <w:t xml:space="preserve"> </w:t>
            </w:r>
            <w:r w:rsidRPr="00872790">
              <w:rPr>
                <w:rFonts w:cs="Arial"/>
                <w:szCs w:val="24"/>
              </w:rPr>
              <w:t>p</w:t>
            </w:r>
            <w:r w:rsidR="00A534DB">
              <w:rPr>
                <w:rFonts w:cs="Arial"/>
                <w:szCs w:val="24"/>
              </w:rPr>
              <w:t>.a.</w:t>
            </w:r>
            <w:r w:rsidRPr="00872790">
              <w:rPr>
                <w:rFonts w:cs="Arial"/>
                <w:szCs w:val="24"/>
              </w:rPr>
              <w:t xml:space="preserve"> full time</w:t>
            </w:r>
            <w:r w:rsidR="0003276B">
              <w:rPr>
                <w:rFonts w:cs="Arial"/>
                <w:szCs w:val="24"/>
              </w:rPr>
              <w:t xml:space="preserve"> rate</w:t>
            </w:r>
          </w:p>
        </w:tc>
      </w:tr>
      <w:tr w:rsidR="00C57281" w:rsidRPr="00872790" w14:paraId="56B6AEBB" w14:textId="77777777" w:rsidTr="00A534DB">
        <w:tc>
          <w:tcPr>
            <w:tcW w:w="4143" w:type="dxa"/>
          </w:tcPr>
          <w:p w14:paraId="41F1A520" w14:textId="77777777" w:rsidR="00C57281" w:rsidRPr="00872790" w:rsidRDefault="00C57281" w:rsidP="00644A98">
            <w:pPr>
              <w:rPr>
                <w:rFonts w:cs="Arial"/>
                <w:szCs w:val="24"/>
              </w:rPr>
            </w:pPr>
            <w:r w:rsidRPr="00872790">
              <w:rPr>
                <w:rFonts w:cs="Arial"/>
                <w:szCs w:val="24"/>
              </w:rPr>
              <w:t>Median rate of pay</w:t>
            </w:r>
          </w:p>
        </w:tc>
        <w:tc>
          <w:tcPr>
            <w:tcW w:w="4961" w:type="dxa"/>
          </w:tcPr>
          <w:p w14:paraId="6E5890C4" w14:textId="15BF2158" w:rsidR="00C57281" w:rsidRPr="00872790" w:rsidRDefault="003255CB" w:rsidP="0031199F">
            <w:pPr>
              <w:rPr>
                <w:rFonts w:cs="Arial"/>
                <w:szCs w:val="24"/>
              </w:rPr>
            </w:pPr>
            <w:r w:rsidRPr="00872790">
              <w:rPr>
                <w:rFonts w:cs="Arial"/>
                <w:szCs w:val="24"/>
              </w:rPr>
              <w:t>£</w:t>
            </w:r>
            <w:r w:rsidR="00AD1FE0">
              <w:rPr>
                <w:rFonts w:cs="Arial"/>
                <w:szCs w:val="24"/>
              </w:rPr>
              <w:t>2</w:t>
            </w:r>
            <w:r w:rsidR="002C433A">
              <w:rPr>
                <w:rFonts w:cs="Arial"/>
                <w:szCs w:val="24"/>
              </w:rPr>
              <w:t xml:space="preserve">7,334 </w:t>
            </w:r>
            <w:r w:rsidRPr="00872790">
              <w:rPr>
                <w:rFonts w:cs="Arial"/>
                <w:szCs w:val="24"/>
              </w:rPr>
              <w:t>p</w:t>
            </w:r>
            <w:r w:rsidR="00A534DB">
              <w:rPr>
                <w:rFonts w:cs="Arial"/>
                <w:szCs w:val="24"/>
              </w:rPr>
              <w:t>.a.</w:t>
            </w:r>
            <w:r w:rsidRPr="00872790">
              <w:rPr>
                <w:rFonts w:cs="Arial"/>
                <w:szCs w:val="24"/>
              </w:rPr>
              <w:t xml:space="preserve"> full time</w:t>
            </w:r>
            <w:r w:rsidR="0003276B">
              <w:rPr>
                <w:rFonts w:cs="Arial"/>
                <w:szCs w:val="24"/>
              </w:rPr>
              <w:t xml:space="preserve"> rate</w:t>
            </w:r>
          </w:p>
        </w:tc>
      </w:tr>
      <w:tr w:rsidR="00C57281" w:rsidRPr="00872790" w14:paraId="725DEA96" w14:textId="77777777" w:rsidTr="00A534DB">
        <w:tc>
          <w:tcPr>
            <w:tcW w:w="4143" w:type="dxa"/>
          </w:tcPr>
          <w:p w14:paraId="395A1BC5" w14:textId="77777777" w:rsidR="00C57281" w:rsidRPr="00872790" w:rsidRDefault="00C57281" w:rsidP="00644A98">
            <w:pPr>
              <w:rPr>
                <w:rFonts w:cs="Arial"/>
                <w:szCs w:val="24"/>
              </w:rPr>
            </w:pPr>
            <w:r w:rsidRPr="00872790">
              <w:rPr>
                <w:rFonts w:cs="Arial"/>
                <w:szCs w:val="24"/>
              </w:rPr>
              <w:t xml:space="preserve">Mean rate of </w:t>
            </w:r>
            <w:r w:rsidR="003255CB" w:rsidRPr="00872790">
              <w:rPr>
                <w:rFonts w:cs="Arial"/>
                <w:szCs w:val="24"/>
              </w:rPr>
              <w:t>pay</w:t>
            </w:r>
          </w:p>
        </w:tc>
        <w:tc>
          <w:tcPr>
            <w:tcW w:w="4961" w:type="dxa"/>
          </w:tcPr>
          <w:p w14:paraId="50E81441" w14:textId="3CF88FD4" w:rsidR="00C57281" w:rsidRPr="00872790" w:rsidRDefault="00C01A08" w:rsidP="0031199F">
            <w:pPr>
              <w:rPr>
                <w:rFonts w:cs="Arial"/>
                <w:szCs w:val="24"/>
              </w:rPr>
            </w:pPr>
            <w:r>
              <w:rPr>
                <w:rFonts w:cs="Arial"/>
                <w:szCs w:val="24"/>
              </w:rPr>
              <w:t>£</w:t>
            </w:r>
            <w:r w:rsidR="002C433A">
              <w:rPr>
                <w:rFonts w:cs="Arial"/>
                <w:szCs w:val="24"/>
              </w:rPr>
              <w:t>30,154</w:t>
            </w:r>
            <w:r w:rsidR="0003276B">
              <w:rPr>
                <w:rFonts w:cs="Arial"/>
                <w:szCs w:val="24"/>
              </w:rPr>
              <w:t xml:space="preserve"> </w:t>
            </w:r>
            <w:r w:rsidR="00A534DB">
              <w:rPr>
                <w:rFonts w:cs="Arial"/>
                <w:szCs w:val="24"/>
              </w:rPr>
              <w:t xml:space="preserve">p.a. </w:t>
            </w:r>
            <w:r w:rsidR="003255CB" w:rsidRPr="00872790">
              <w:rPr>
                <w:rFonts w:cs="Arial"/>
                <w:szCs w:val="24"/>
              </w:rPr>
              <w:t>full time</w:t>
            </w:r>
            <w:r w:rsidR="0003276B">
              <w:rPr>
                <w:rFonts w:cs="Arial"/>
                <w:szCs w:val="24"/>
              </w:rPr>
              <w:t xml:space="preserve"> rate</w:t>
            </w:r>
          </w:p>
        </w:tc>
      </w:tr>
      <w:tr w:rsidR="00C57281" w:rsidRPr="00872790" w14:paraId="50486DD3" w14:textId="77777777" w:rsidTr="00A534DB">
        <w:tc>
          <w:tcPr>
            <w:tcW w:w="4143" w:type="dxa"/>
          </w:tcPr>
          <w:p w14:paraId="17FD68B1" w14:textId="2ADC3ECF" w:rsidR="00C57281" w:rsidRPr="00872790" w:rsidRDefault="003255CB" w:rsidP="00644A98">
            <w:pPr>
              <w:rPr>
                <w:rFonts w:cs="Arial"/>
                <w:szCs w:val="24"/>
              </w:rPr>
            </w:pPr>
            <w:r w:rsidRPr="00872790">
              <w:rPr>
                <w:rFonts w:cs="Arial"/>
                <w:szCs w:val="24"/>
              </w:rPr>
              <w:t>Highest rate of pay</w:t>
            </w:r>
            <w:r w:rsidR="0031199F">
              <w:rPr>
                <w:rFonts w:cs="Arial"/>
                <w:szCs w:val="24"/>
              </w:rPr>
              <w:t xml:space="preserve"> </w:t>
            </w:r>
          </w:p>
        </w:tc>
        <w:tc>
          <w:tcPr>
            <w:tcW w:w="4961" w:type="dxa"/>
          </w:tcPr>
          <w:p w14:paraId="6FA60CDD" w14:textId="127122B1" w:rsidR="00C57281" w:rsidRPr="00872790" w:rsidRDefault="003255CB" w:rsidP="0031199F">
            <w:pPr>
              <w:rPr>
                <w:rFonts w:cs="Arial"/>
                <w:szCs w:val="24"/>
              </w:rPr>
            </w:pPr>
            <w:r w:rsidRPr="00872790">
              <w:rPr>
                <w:rFonts w:cs="Arial"/>
                <w:szCs w:val="24"/>
              </w:rPr>
              <w:t>£</w:t>
            </w:r>
            <w:r w:rsidR="004121C7">
              <w:rPr>
                <w:rFonts w:cs="Arial"/>
                <w:szCs w:val="24"/>
              </w:rPr>
              <w:t>1</w:t>
            </w:r>
            <w:r w:rsidR="0031199F">
              <w:rPr>
                <w:rFonts w:cs="Arial"/>
                <w:szCs w:val="24"/>
              </w:rPr>
              <w:t>2</w:t>
            </w:r>
            <w:r w:rsidR="002C433A">
              <w:rPr>
                <w:rFonts w:cs="Arial"/>
                <w:szCs w:val="24"/>
              </w:rPr>
              <w:t>7</w:t>
            </w:r>
            <w:r w:rsidR="0003276B">
              <w:rPr>
                <w:rFonts w:cs="Arial"/>
                <w:szCs w:val="24"/>
              </w:rPr>
              <w:t>,</w:t>
            </w:r>
            <w:r w:rsidR="002C433A">
              <w:rPr>
                <w:rFonts w:cs="Arial"/>
                <w:szCs w:val="24"/>
              </w:rPr>
              <w:t>771</w:t>
            </w:r>
            <w:r w:rsidR="0003276B">
              <w:rPr>
                <w:rFonts w:cs="Arial"/>
                <w:szCs w:val="24"/>
              </w:rPr>
              <w:t xml:space="preserve"> </w:t>
            </w:r>
            <w:r w:rsidRPr="00872790">
              <w:rPr>
                <w:rFonts w:cs="Arial"/>
                <w:szCs w:val="24"/>
              </w:rPr>
              <w:t>p</w:t>
            </w:r>
            <w:r w:rsidR="00A534DB">
              <w:rPr>
                <w:rFonts w:cs="Arial"/>
                <w:szCs w:val="24"/>
              </w:rPr>
              <w:t>.a. f</w:t>
            </w:r>
            <w:r w:rsidRPr="00872790">
              <w:rPr>
                <w:rFonts w:cs="Arial"/>
                <w:szCs w:val="24"/>
              </w:rPr>
              <w:t>ull time</w:t>
            </w:r>
            <w:r w:rsidR="0003276B">
              <w:rPr>
                <w:rFonts w:cs="Arial"/>
                <w:szCs w:val="24"/>
              </w:rPr>
              <w:t xml:space="preserve"> rate</w:t>
            </w:r>
          </w:p>
        </w:tc>
      </w:tr>
      <w:tr w:rsidR="00C57281" w:rsidRPr="00872790" w14:paraId="73EA3A0C" w14:textId="77777777" w:rsidTr="00A534DB">
        <w:tc>
          <w:tcPr>
            <w:tcW w:w="4143" w:type="dxa"/>
          </w:tcPr>
          <w:p w14:paraId="05AA1518" w14:textId="77777777" w:rsidR="003255CB" w:rsidRPr="00872790" w:rsidRDefault="003255CB" w:rsidP="00644A98">
            <w:pPr>
              <w:rPr>
                <w:rFonts w:cs="Arial"/>
                <w:szCs w:val="24"/>
              </w:rPr>
            </w:pPr>
            <w:r w:rsidRPr="00872790">
              <w:rPr>
                <w:rFonts w:cs="Arial"/>
                <w:szCs w:val="24"/>
              </w:rPr>
              <w:t>Expression</w:t>
            </w:r>
            <w:r w:rsidR="00DE4739" w:rsidRPr="00872790">
              <w:rPr>
                <w:rFonts w:cs="Arial"/>
                <w:szCs w:val="24"/>
              </w:rPr>
              <w:t xml:space="preserve"> (as a multiple)</w:t>
            </w:r>
            <w:r w:rsidRPr="00872790">
              <w:rPr>
                <w:rFonts w:cs="Arial"/>
                <w:szCs w:val="24"/>
              </w:rPr>
              <w:t xml:space="preserve"> of highest rate of pay against:</w:t>
            </w:r>
          </w:p>
          <w:p w14:paraId="68F7DA3C" w14:textId="77777777" w:rsidR="003255CB" w:rsidRPr="00872790" w:rsidRDefault="003255CB" w:rsidP="00644A98">
            <w:pPr>
              <w:rPr>
                <w:rFonts w:cs="Arial"/>
                <w:szCs w:val="24"/>
              </w:rPr>
            </w:pPr>
          </w:p>
          <w:p w14:paraId="077C298F" w14:textId="77777777" w:rsidR="003255CB" w:rsidRPr="00872790" w:rsidRDefault="003255CB" w:rsidP="00644A98">
            <w:pPr>
              <w:rPr>
                <w:rFonts w:cs="Arial"/>
                <w:szCs w:val="24"/>
              </w:rPr>
            </w:pPr>
            <w:r w:rsidRPr="00872790">
              <w:rPr>
                <w:rFonts w:cs="Arial"/>
                <w:szCs w:val="24"/>
              </w:rPr>
              <w:t>Lowest pay:</w:t>
            </w:r>
          </w:p>
          <w:p w14:paraId="41530CCB" w14:textId="77777777" w:rsidR="003255CB" w:rsidRPr="00872790" w:rsidRDefault="003255CB" w:rsidP="00644A98">
            <w:pPr>
              <w:rPr>
                <w:rFonts w:cs="Arial"/>
                <w:szCs w:val="24"/>
              </w:rPr>
            </w:pPr>
            <w:r w:rsidRPr="00872790">
              <w:rPr>
                <w:rFonts w:cs="Arial"/>
                <w:szCs w:val="24"/>
              </w:rPr>
              <w:t>Median pay:</w:t>
            </w:r>
          </w:p>
          <w:p w14:paraId="2A1EAA47" w14:textId="77777777" w:rsidR="00DE4739" w:rsidRPr="00872790" w:rsidRDefault="003255CB" w:rsidP="00DE4739">
            <w:pPr>
              <w:rPr>
                <w:rFonts w:cs="Arial"/>
                <w:szCs w:val="24"/>
              </w:rPr>
            </w:pPr>
            <w:r w:rsidRPr="00872790">
              <w:rPr>
                <w:rFonts w:cs="Arial"/>
                <w:szCs w:val="24"/>
              </w:rPr>
              <w:t>Mean pay:</w:t>
            </w:r>
          </w:p>
          <w:p w14:paraId="75773A29" w14:textId="77777777" w:rsidR="00DE4739" w:rsidRPr="00872790" w:rsidRDefault="00DE4739" w:rsidP="00DE4739">
            <w:pPr>
              <w:rPr>
                <w:rFonts w:cs="Arial"/>
                <w:szCs w:val="24"/>
              </w:rPr>
            </w:pPr>
          </w:p>
        </w:tc>
        <w:tc>
          <w:tcPr>
            <w:tcW w:w="4961" w:type="dxa"/>
          </w:tcPr>
          <w:p w14:paraId="79FF24F6" w14:textId="77777777" w:rsidR="00C57281" w:rsidRPr="00872790" w:rsidRDefault="00C57281" w:rsidP="00644A98">
            <w:pPr>
              <w:rPr>
                <w:rFonts w:cs="Arial"/>
                <w:szCs w:val="24"/>
              </w:rPr>
            </w:pPr>
          </w:p>
          <w:p w14:paraId="4C39EB20" w14:textId="77777777" w:rsidR="003255CB" w:rsidRPr="00872790" w:rsidRDefault="003255CB" w:rsidP="00644A98">
            <w:pPr>
              <w:rPr>
                <w:rFonts w:cs="Arial"/>
                <w:szCs w:val="24"/>
              </w:rPr>
            </w:pPr>
          </w:p>
          <w:p w14:paraId="64FE0AE8" w14:textId="77777777" w:rsidR="003255CB" w:rsidRPr="00872790" w:rsidRDefault="003255CB" w:rsidP="00644A98">
            <w:pPr>
              <w:rPr>
                <w:rFonts w:cs="Arial"/>
                <w:szCs w:val="24"/>
              </w:rPr>
            </w:pPr>
          </w:p>
          <w:p w14:paraId="00F54FC9" w14:textId="13957985" w:rsidR="003255CB" w:rsidRPr="00872790" w:rsidRDefault="0031199F" w:rsidP="00644A98">
            <w:pPr>
              <w:rPr>
                <w:rFonts w:cs="Arial"/>
                <w:szCs w:val="24"/>
              </w:rPr>
            </w:pPr>
            <w:r>
              <w:rPr>
                <w:rFonts w:cs="Arial"/>
                <w:szCs w:val="24"/>
              </w:rPr>
              <w:t>5.</w:t>
            </w:r>
            <w:r w:rsidR="002C433A">
              <w:rPr>
                <w:rFonts w:cs="Arial"/>
                <w:szCs w:val="24"/>
              </w:rPr>
              <w:t>44</w:t>
            </w:r>
            <w:r w:rsidR="00DE4739" w:rsidRPr="00872790">
              <w:rPr>
                <w:rFonts w:cs="Arial"/>
                <w:szCs w:val="24"/>
              </w:rPr>
              <w:t xml:space="preserve"> times greater </w:t>
            </w:r>
          </w:p>
          <w:p w14:paraId="5E027BE7" w14:textId="4FBBA7D3" w:rsidR="00DE4739" w:rsidRPr="00872790" w:rsidRDefault="002C433A" w:rsidP="00644A98">
            <w:pPr>
              <w:rPr>
                <w:rFonts w:cs="Arial"/>
                <w:szCs w:val="24"/>
              </w:rPr>
            </w:pPr>
            <w:r>
              <w:rPr>
                <w:rFonts w:cs="Arial"/>
                <w:szCs w:val="24"/>
              </w:rPr>
              <w:t>4.67</w:t>
            </w:r>
            <w:r w:rsidR="00DE4739" w:rsidRPr="00872790">
              <w:rPr>
                <w:rFonts w:cs="Arial"/>
                <w:szCs w:val="24"/>
              </w:rPr>
              <w:t xml:space="preserve"> times greater</w:t>
            </w:r>
          </w:p>
          <w:p w14:paraId="20583B5E" w14:textId="55811EDD" w:rsidR="00DE4739" w:rsidRPr="00872790" w:rsidRDefault="00555042" w:rsidP="0031199F">
            <w:pPr>
              <w:rPr>
                <w:rFonts w:cs="Arial"/>
                <w:szCs w:val="24"/>
              </w:rPr>
            </w:pPr>
            <w:r>
              <w:rPr>
                <w:rFonts w:cs="Arial"/>
                <w:szCs w:val="24"/>
              </w:rPr>
              <w:t>4.</w:t>
            </w:r>
            <w:r w:rsidR="002C433A">
              <w:rPr>
                <w:rFonts w:cs="Arial"/>
                <w:szCs w:val="24"/>
              </w:rPr>
              <w:t>2</w:t>
            </w:r>
            <w:r w:rsidR="0031199F">
              <w:rPr>
                <w:rFonts w:cs="Arial"/>
                <w:szCs w:val="24"/>
              </w:rPr>
              <w:t>4</w:t>
            </w:r>
            <w:r w:rsidR="00DE4739" w:rsidRPr="00872790">
              <w:rPr>
                <w:rFonts w:cs="Arial"/>
                <w:szCs w:val="24"/>
              </w:rPr>
              <w:t xml:space="preserve"> times greater</w:t>
            </w:r>
          </w:p>
        </w:tc>
      </w:tr>
    </w:tbl>
    <w:p w14:paraId="7BC1C156" w14:textId="77777777" w:rsidR="00192D78" w:rsidRDefault="00192D78" w:rsidP="00644A98">
      <w:pPr>
        <w:ind w:left="360"/>
        <w:rPr>
          <w:rFonts w:cs="Arial"/>
          <w:szCs w:val="24"/>
        </w:rPr>
      </w:pPr>
    </w:p>
    <w:p w14:paraId="5322FE7F" w14:textId="77777777" w:rsidR="007F5B3F" w:rsidRDefault="007F5B3F" w:rsidP="00644A98">
      <w:pPr>
        <w:ind w:left="360"/>
        <w:rPr>
          <w:rFonts w:cs="Arial"/>
          <w:b/>
          <w:szCs w:val="24"/>
        </w:rPr>
      </w:pPr>
    </w:p>
    <w:p w14:paraId="008A2A87" w14:textId="77777777" w:rsidR="007F5B3F" w:rsidRDefault="007F5B3F" w:rsidP="00644A98">
      <w:pPr>
        <w:ind w:left="360"/>
        <w:rPr>
          <w:rFonts w:cs="Arial"/>
          <w:b/>
          <w:szCs w:val="24"/>
        </w:rPr>
      </w:pPr>
    </w:p>
    <w:p w14:paraId="4F8E2F18" w14:textId="77777777" w:rsidR="007F5B3F" w:rsidRDefault="007F5B3F" w:rsidP="00644A98">
      <w:pPr>
        <w:ind w:left="360"/>
        <w:rPr>
          <w:rFonts w:cs="Arial"/>
          <w:b/>
          <w:szCs w:val="24"/>
        </w:rPr>
      </w:pPr>
    </w:p>
    <w:p w14:paraId="1CB19273" w14:textId="77777777" w:rsidR="007F5B3F" w:rsidRDefault="007F5B3F" w:rsidP="00644A98">
      <w:pPr>
        <w:ind w:left="360"/>
        <w:rPr>
          <w:rFonts w:cs="Arial"/>
          <w:b/>
          <w:szCs w:val="24"/>
        </w:rPr>
      </w:pPr>
    </w:p>
    <w:p w14:paraId="634C05D7" w14:textId="77777777" w:rsidR="007F5B3F" w:rsidRDefault="007F5B3F" w:rsidP="00644A98">
      <w:pPr>
        <w:ind w:left="360"/>
        <w:rPr>
          <w:rFonts w:cs="Arial"/>
          <w:b/>
          <w:szCs w:val="24"/>
        </w:rPr>
      </w:pPr>
    </w:p>
    <w:p w14:paraId="7688EE8E" w14:textId="77777777" w:rsidR="007F5B3F" w:rsidRDefault="007F5B3F" w:rsidP="00644A98">
      <w:pPr>
        <w:ind w:left="360"/>
        <w:rPr>
          <w:rFonts w:cs="Arial"/>
          <w:b/>
          <w:szCs w:val="24"/>
        </w:rPr>
      </w:pPr>
    </w:p>
    <w:p w14:paraId="7E34BB89" w14:textId="77777777" w:rsidR="007F5B3F" w:rsidRDefault="007F5B3F" w:rsidP="00644A98">
      <w:pPr>
        <w:ind w:left="360"/>
        <w:rPr>
          <w:rFonts w:cs="Arial"/>
          <w:b/>
          <w:szCs w:val="24"/>
        </w:rPr>
      </w:pPr>
    </w:p>
    <w:p w14:paraId="480B8402" w14:textId="77777777" w:rsidR="00320E77" w:rsidRDefault="00320E77" w:rsidP="00472D17">
      <w:pPr>
        <w:rPr>
          <w:rFonts w:cs="Arial"/>
          <w:b/>
          <w:szCs w:val="24"/>
        </w:rPr>
      </w:pPr>
    </w:p>
    <w:p w14:paraId="3FCEDBE0" w14:textId="77777777" w:rsidR="008228A7" w:rsidRDefault="008228A7" w:rsidP="003C05E8">
      <w:pPr>
        <w:ind w:left="142"/>
        <w:rPr>
          <w:rFonts w:cs="Arial"/>
          <w:b/>
          <w:color w:val="000000"/>
          <w:sz w:val="28"/>
          <w:szCs w:val="28"/>
        </w:rPr>
      </w:pPr>
    </w:p>
    <w:p w14:paraId="15687C18" w14:textId="77777777" w:rsidR="008228A7" w:rsidRDefault="008228A7" w:rsidP="003C05E8">
      <w:pPr>
        <w:ind w:left="142"/>
        <w:rPr>
          <w:rFonts w:cs="Arial"/>
          <w:b/>
          <w:color w:val="000000"/>
          <w:sz w:val="28"/>
          <w:szCs w:val="28"/>
        </w:rPr>
      </w:pPr>
    </w:p>
    <w:p w14:paraId="7CD429B3" w14:textId="7DD5FD6F" w:rsidR="003846FC" w:rsidRPr="00C55AAD" w:rsidRDefault="003846FC" w:rsidP="003C05E8">
      <w:pPr>
        <w:ind w:left="142"/>
        <w:rPr>
          <w:rFonts w:cs="Arial"/>
          <w:b/>
          <w:color w:val="000000"/>
          <w:sz w:val="28"/>
          <w:szCs w:val="28"/>
        </w:rPr>
      </w:pPr>
      <w:r w:rsidRPr="00C55AAD">
        <w:rPr>
          <w:rFonts w:cs="Arial"/>
          <w:b/>
          <w:color w:val="000000"/>
          <w:sz w:val="28"/>
          <w:szCs w:val="28"/>
        </w:rPr>
        <w:t>Job-related information</w:t>
      </w:r>
      <w:r w:rsidR="0008464B" w:rsidRPr="00C55AAD">
        <w:rPr>
          <w:rFonts w:cs="Arial"/>
          <w:b/>
          <w:color w:val="000000"/>
          <w:sz w:val="28"/>
          <w:szCs w:val="28"/>
        </w:rPr>
        <w:t xml:space="preserve"> for </w:t>
      </w:r>
      <w:r w:rsidR="00222CE1" w:rsidRPr="00C55AAD">
        <w:rPr>
          <w:rFonts w:cs="Arial"/>
          <w:b/>
          <w:color w:val="000000"/>
          <w:sz w:val="28"/>
          <w:szCs w:val="28"/>
        </w:rPr>
        <w:t>Chief Officer</w:t>
      </w:r>
      <w:r w:rsidR="0008464B" w:rsidRPr="00C55AAD">
        <w:rPr>
          <w:rFonts w:cs="Arial"/>
          <w:b/>
          <w:color w:val="000000"/>
          <w:sz w:val="28"/>
          <w:szCs w:val="28"/>
        </w:rPr>
        <w:t>s</w:t>
      </w:r>
    </w:p>
    <w:p w14:paraId="7250A439" w14:textId="77777777" w:rsidR="00166139" w:rsidRPr="00C55AAD" w:rsidRDefault="00166139" w:rsidP="00472D17">
      <w:pPr>
        <w:rPr>
          <w:rFonts w:cs="Arial"/>
          <w:b/>
          <w:color w:val="000000"/>
          <w:szCs w:val="24"/>
        </w:rPr>
      </w:pPr>
    </w:p>
    <w:p w14:paraId="1AB903A3" w14:textId="77777777" w:rsidR="00166139" w:rsidRPr="00D8189D" w:rsidRDefault="00166139" w:rsidP="00472D17">
      <w:pPr>
        <w:rPr>
          <w:rFonts w:cs="Arial"/>
          <w:b/>
          <w:szCs w:val="24"/>
        </w:rPr>
      </w:pP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985"/>
        <w:gridCol w:w="1559"/>
        <w:gridCol w:w="1843"/>
      </w:tblGrid>
      <w:tr w:rsidR="003260D8" w:rsidRPr="00D8189D" w14:paraId="31F47DAA" w14:textId="77777777" w:rsidTr="003C05E8">
        <w:tc>
          <w:tcPr>
            <w:tcW w:w="3686" w:type="dxa"/>
          </w:tcPr>
          <w:p w14:paraId="46CD5177" w14:textId="77777777" w:rsidR="003260D8" w:rsidRPr="00D8189D" w:rsidRDefault="00CD5CA0" w:rsidP="00CD5CA0">
            <w:pPr>
              <w:rPr>
                <w:rFonts w:cs="Arial"/>
                <w:b/>
                <w:sz w:val="22"/>
                <w:szCs w:val="22"/>
              </w:rPr>
            </w:pPr>
            <w:r>
              <w:rPr>
                <w:rFonts w:cs="Arial"/>
                <w:b/>
                <w:sz w:val="22"/>
                <w:szCs w:val="22"/>
              </w:rPr>
              <w:t>Job Title of Senior posts</w:t>
            </w:r>
            <w:r w:rsidR="003260D8" w:rsidRPr="00D8189D">
              <w:rPr>
                <w:rFonts w:cs="Arial"/>
                <w:sz w:val="18"/>
                <w:szCs w:val="18"/>
                <w:vertAlign w:val="subscript"/>
              </w:rPr>
              <w:t>1</w:t>
            </w:r>
            <w:r w:rsidR="003260D8" w:rsidRPr="00D8189D">
              <w:rPr>
                <w:rFonts w:cs="Arial"/>
                <w:b/>
                <w:sz w:val="22"/>
                <w:szCs w:val="22"/>
              </w:rPr>
              <w:t xml:space="preserve"> </w:t>
            </w:r>
          </w:p>
        </w:tc>
        <w:tc>
          <w:tcPr>
            <w:tcW w:w="1985" w:type="dxa"/>
          </w:tcPr>
          <w:p w14:paraId="4DBB267C" w14:textId="77777777" w:rsidR="003260D8" w:rsidRDefault="003260D8" w:rsidP="007B5152">
            <w:pPr>
              <w:rPr>
                <w:rFonts w:cs="Arial"/>
                <w:b/>
                <w:sz w:val="20"/>
              </w:rPr>
            </w:pPr>
            <w:r w:rsidRPr="00D8189D">
              <w:rPr>
                <w:rFonts w:cs="Arial"/>
                <w:b/>
                <w:sz w:val="20"/>
              </w:rPr>
              <w:t>Substantive post- Salary Band p.a. (pay pts in scale)</w:t>
            </w:r>
          </w:p>
          <w:p w14:paraId="1FC03E3D" w14:textId="77777777" w:rsidR="00E934FD" w:rsidRPr="00E934FD" w:rsidRDefault="00E934FD" w:rsidP="007B5152">
            <w:pPr>
              <w:rPr>
                <w:rFonts w:cs="Arial"/>
                <w:sz w:val="20"/>
              </w:rPr>
            </w:pPr>
            <w:r w:rsidRPr="00E934FD">
              <w:rPr>
                <w:rFonts w:cs="Arial"/>
                <w:sz w:val="20"/>
              </w:rPr>
              <w:t>2021/22 pay award still pending</w:t>
            </w:r>
          </w:p>
        </w:tc>
        <w:tc>
          <w:tcPr>
            <w:tcW w:w="1559" w:type="dxa"/>
          </w:tcPr>
          <w:p w14:paraId="2D205FCF" w14:textId="77777777" w:rsidR="003260D8" w:rsidRPr="00D8189D" w:rsidRDefault="003260D8" w:rsidP="00DE2938">
            <w:pPr>
              <w:rPr>
                <w:rFonts w:cs="Arial"/>
                <w:b/>
                <w:sz w:val="20"/>
              </w:rPr>
            </w:pPr>
            <w:r w:rsidRPr="00D8189D">
              <w:rPr>
                <w:rFonts w:cs="Arial"/>
                <w:b/>
                <w:sz w:val="20"/>
              </w:rPr>
              <w:t>Enhancement to basic pay or Addition to basic pay (not related to main job)</w:t>
            </w:r>
          </w:p>
        </w:tc>
        <w:tc>
          <w:tcPr>
            <w:tcW w:w="1843" w:type="dxa"/>
          </w:tcPr>
          <w:p w14:paraId="4E086423" w14:textId="77777777" w:rsidR="003260D8" w:rsidRPr="00D8189D" w:rsidRDefault="003260D8" w:rsidP="00F57172">
            <w:pPr>
              <w:rPr>
                <w:rFonts w:cs="Arial"/>
                <w:sz w:val="20"/>
              </w:rPr>
            </w:pPr>
            <w:proofErr w:type="gramStart"/>
            <w:r w:rsidRPr="00D8189D">
              <w:rPr>
                <w:rFonts w:cs="Arial"/>
                <w:b/>
                <w:sz w:val="20"/>
              </w:rPr>
              <w:t xml:space="preserve">For </w:t>
            </w:r>
            <w:r w:rsidR="00CD5CA0">
              <w:rPr>
                <w:rFonts w:cs="Arial"/>
                <w:b/>
                <w:sz w:val="20"/>
              </w:rPr>
              <w:t xml:space="preserve"> </w:t>
            </w:r>
            <w:r w:rsidRPr="00D8189D">
              <w:rPr>
                <w:rFonts w:cs="Arial"/>
                <w:b/>
                <w:sz w:val="20"/>
              </w:rPr>
              <w:t>Senior</w:t>
            </w:r>
            <w:proofErr w:type="gramEnd"/>
            <w:r w:rsidRPr="00D8189D">
              <w:rPr>
                <w:rFonts w:cs="Arial"/>
                <w:b/>
                <w:sz w:val="20"/>
              </w:rPr>
              <w:t xml:space="preserve"> Posts</w:t>
            </w:r>
            <w:r w:rsidRPr="00D8189D">
              <w:rPr>
                <w:rFonts w:cs="Arial"/>
                <w:sz w:val="20"/>
              </w:rPr>
              <w:t xml:space="preserve"> :</w:t>
            </w:r>
          </w:p>
          <w:p w14:paraId="32F667AF" w14:textId="77777777" w:rsidR="003260D8" w:rsidRPr="00D8189D" w:rsidRDefault="003260D8" w:rsidP="003A1514">
            <w:pPr>
              <w:rPr>
                <w:rFonts w:cs="Arial"/>
                <w:b/>
                <w:sz w:val="20"/>
              </w:rPr>
            </w:pPr>
            <w:r w:rsidRPr="00D8189D">
              <w:rPr>
                <w:rFonts w:cs="Arial"/>
                <w:b/>
                <w:sz w:val="20"/>
              </w:rPr>
              <w:t xml:space="preserve">Number of staff reports </w:t>
            </w:r>
            <w:proofErr w:type="gramStart"/>
            <w:r w:rsidRPr="00D8189D">
              <w:rPr>
                <w:rFonts w:cs="Arial"/>
                <w:b/>
                <w:sz w:val="20"/>
              </w:rPr>
              <w:t>&amp;  total</w:t>
            </w:r>
            <w:proofErr w:type="gramEnd"/>
            <w:r w:rsidRPr="00D8189D">
              <w:rPr>
                <w:rFonts w:cs="Arial"/>
                <w:b/>
                <w:sz w:val="20"/>
              </w:rPr>
              <w:t xml:space="preserve"> budget</w:t>
            </w:r>
            <w:r w:rsidR="00166139">
              <w:rPr>
                <w:rFonts w:cs="Arial"/>
                <w:b/>
                <w:sz w:val="20"/>
                <w:vertAlign w:val="subscript"/>
              </w:rPr>
              <w:t>2</w:t>
            </w:r>
            <w:r>
              <w:rPr>
                <w:rFonts w:cs="Arial"/>
                <w:b/>
                <w:sz w:val="20"/>
                <w:vertAlign w:val="subscript"/>
              </w:rPr>
              <w:t xml:space="preserve"> </w:t>
            </w:r>
          </w:p>
        </w:tc>
      </w:tr>
      <w:tr w:rsidR="003260D8" w:rsidRPr="00AF5DD6" w14:paraId="1658A980" w14:textId="77777777" w:rsidTr="003C05E8">
        <w:tc>
          <w:tcPr>
            <w:tcW w:w="3686" w:type="dxa"/>
          </w:tcPr>
          <w:p w14:paraId="0B85BB7A" w14:textId="4226EF98" w:rsidR="003260D8" w:rsidRDefault="003260D8" w:rsidP="00644A98">
            <w:pPr>
              <w:rPr>
                <w:rFonts w:cs="Arial"/>
                <w:b/>
                <w:sz w:val="22"/>
                <w:szCs w:val="22"/>
              </w:rPr>
            </w:pPr>
            <w:r w:rsidRPr="005C53BA">
              <w:rPr>
                <w:rFonts w:cs="Arial"/>
                <w:b/>
                <w:sz w:val="22"/>
                <w:szCs w:val="22"/>
              </w:rPr>
              <w:t>Chief Executive</w:t>
            </w:r>
          </w:p>
          <w:p w14:paraId="2475ED32" w14:textId="77777777" w:rsidR="003260D8" w:rsidRPr="005C53BA" w:rsidRDefault="003260D8" w:rsidP="007F1373">
            <w:pPr>
              <w:rPr>
                <w:rFonts w:cs="Arial"/>
                <w:sz w:val="22"/>
                <w:szCs w:val="22"/>
              </w:rPr>
            </w:pPr>
          </w:p>
        </w:tc>
        <w:tc>
          <w:tcPr>
            <w:tcW w:w="1985" w:type="dxa"/>
          </w:tcPr>
          <w:p w14:paraId="5B1961A4" w14:textId="5BB2D0EC" w:rsidR="00B91938" w:rsidRDefault="003260D8" w:rsidP="00685EB2">
            <w:pPr>
              <w:rPr>
                <w:sz w:val="20"/>
              </w:rPr>
            </w:pPr>
            <w:r w:rsidRPr="00F57172">
              <w:rPr>
                <w:sz w:val="20"/>
              </w:rPr>
              <w:t>£</w:t>
            </w:r>
            <w:r w:rsidR="00B37F33">
              <w:rPr>
                <w:sz w:val="20"/>
              </w:rPr>
              <w:t>1</w:t>
            </w:r>
            <w:r w:rsidR="0028265D">
              <w:rPr>
                <w:sz w:val="20"/>
              </w:rPr>
              <w:t>23</w:t>
            </w:r>
            <w:r w:rsidR="00D55433">
              <w:rPr>
                <w:sz w:val="20"/>
              </w:rPr>
              <w:t>,</w:t>
            </w:r>
            <w:r w:rsidR="0028265D">
              <w:rPr>
                <w:sz w:val="20"/>
              </w:rPr>
              <w:t>279</w:t>
            </w:r>
            <w:r w:rsidRPr="00F57172">
              <w:rPr>
                <w:sz w:val="20"/>
              </w:rPr>
              <w:t xml:space="preserve"> </w:t>
            </w:r>
            <w:r w:rsidR="007B0AD2">
              <w:rPr>
                <w:sz w:val="20"/>
              </w:rPr>
              <w:t>-</w:t>
            </w:r>
          </w:p>
          <w:p w14:paraId="036369DB" w14:textId="56954646" w:rsidR="007B0AD2" w:rsidRDefault="007B0AD2" w:rsidP="00685EB2">
            <w:pPr>
              <w:rPr>
                <w:sz w:val="20"/>
              </w:rPr>
            </w:pPr>
            <w:r>
              <w:rPr>
                <w:sz w:val="20"/>
              </w:rPr>
              <w:t>£125,525 -</w:t>
            </w:r>
          </w:p>
          <w:p w14:paraId="77C3BF8B" w14:textId="6A05B48C" w:rsidR="003260D8" w:rsidRDefault="003260D8" w:rsidP="00B37F33">
            <w:pPr>
              <w:rPr>
                <w:sz w:val="20"/>
              </w:rPr>
            </w:pPr>
            <w:r w:rsidRPr="00F57172">
              <w:rPr>
                <w:sz w:val="20"/>
              </w:rPr>
              <w:t>£</w:t>
            </w:r>
            <w:r>
              <w:rPr>
                <w:sz w:val="20"/>
              </w:rPr>
              <w:t>1</w:t>
            </w:r>
            <w:r w:rsidR="0031199F">
              <w:rPr>
                <w:sz w:val="20"/>
              </w:rPr>
              <w:t>2</w:t>
            </w:r>
            <w:r w:rsidR="0028265D">
              <w:rPr>
                <w:sz w:val="20"/>
              </w:rPr>
              <w:t>7</w:t>
            </w:r>
            <w:r>
              <w:rPr>
                <w:sz w:val="20"/>
              </w:rPr>
              <w:t>,</w:t>
            </w:r>
            <w:r w:rsidR="0028265D">
              <w:rPr>
                <w:sz w:val="20"/>
              </w:rPr>
              <w:t>771</w:t>
            </w:r>
          </w:p>
          <w:p w14:paraId="2B983813" w14:textId="77777777" w:rsidR="00021C22" w:rsidRPr="00B91938" w:rsidRDefault="00021C22" w:rsidP="00B37F33">
            <w:pPr>
              <w:rPr>
                <w:sz w:val="20"/>
              </w:rPr>
            </w:pPr>
            <w:r>
              <w:rPr>
                <w:rFonts w:cs="Arial"/>
                <w:sz w:val="20"/>
              </w:rPr>
              <w:t>Progression is performance-related</w:t>
            </w:r>
          </w:p>
        </w:tc>
        <w:tc>
          <w:tcPr>
            <w:tcW w:w="1559" w:type="dxa"/>
          </w:tcPr>
          <w:p w14:paraId="09ABFF0E" w14:textId="77777777" w:rsidR="003260D8" w:rsidRPr="00AF5DD6" w:rsidRDefault="003260D8" w:rsidP="00DE2938">
            <w:pPr>
              <w:rPr>
                <w:rFonts w:cs="Arial"/>
                <w:szCs w:val="24"/>
              </w:rPr>
            </w:pPr>
            <w:r>
              <w:rPr>
                <w:rFonts w:cs="Arial"/>
                <w:szCs w:val="24"/>
              </w:rPr>
              <w:t xml:space="preserve">Yes- </w:t>
            </w:r>
            <w:r w:rsidRPr="00DE4739">
              <w:rPr>
                <w:rFonts w:cs="Arial"/>
                <w:sz w:val="20"/>
              </w:rPr>
              <w:t>Election fees</w:t>
            </w:r>
          </w:p>
        </w:tc>
        <w:tc>
          <w:tcPr>
            <w:tcW w:w="1843" w:type="dxa"/>
          </w:tcPr>
          <w:p w14:paraId="266480DF" w14:textId="47E99C99" w:rsidR="003260D8" w:rsidRPr="00C55AAD" w:rsidRDefault="0028265D" w:rsidP="002D402D">
            <w:pPr>
              <w:rPr>
                <w:rFonts w:cs="Arial"/>
                <w:color w:val="000000"/>
                <w:sz w:val="22"/>
                <w:szCs w:val="22"/>
              </w:rPr>
            </w:pPr>
            <w:r>
              <w:rPr>
                <w:rFonts w:cs="Arial"/>
                <w:color w:val="000000"/>
                <w:sz w:val="22"/>
                <w:szCs w:val="22"/>
              </w:rPr>
              <w:t>86</w:t>
            </w:r>
            <w:r w:rsidR="003260D8" w:rsidRPr="00C55AAD">
              <w:rPr>
                <w:rFonts w:cs="Arial"/>
                <w:color w:val="000000"/>
                <w:sz w:val="22"/>
                <w:szCs w:val="22"/>
              </w:rPr>
              <w:t xml:space="preserve"> staff</w:t>
            </w:r>
          </w:p>
          <w:p w14:paraId="78B0BB1B" w14:textId="15A9243A" w:rsidR="003260D8" w:rsidRPr="00C55AAD" w:rsidRDefault="003260D8" w:rsidP="002D402D">
            <w:pPr>
              <w:rPr>
                <w:rFonts w:cs="Arial"/>
                <w:color w:val="000000"/>
                <w:sz w:val="22"/>
                <w:szCs w:val="22"/>
              </w:rPr>
            </w:pPr>
            <w:r w:rsidRPr="00C55AAD">
              <w:rPr>
                <w:rFonts w:cs="Arial"/>
                <w:color w:val="000000"/>
                <w:sz w:val="22"/>
                <w:szCs w:val="22"/>
              </w:rPr>
              <w:t>(</w:t>
            </w:r>
            <w:r w:rsidR="008F111A" w:rsidRPr="00C55AAD">
              <w:rPr>
                <w:rFonts w:cs="Arial"/>
                <w:color w:val="000000"/>
                <w:sz w:val="22"/>
                <w:szCs w:val="22"/>
              </w:rPr>
              <w:t>4</w:t>
            </w:r>
            <w:r w:rsidR="003A1514">
              <w:rPr>
                <w:rFonts w:cs="Arial"/>
                <w:color w:val="000000"/>
                <w:sz w:val="22"/>
                <w:szCs w:val="22"/>
              </w:rPr>
              <w:t>3</w:t>
            </w:r>
            <w:r w:rsidR="007B0AD2">
              <w:rPr>
                <w:rFonts w:cs="Arial"/>
                <w:color w:val="000000"/>
                <w:sz w:val="22"/>
                <w:szCs w:val="22"/>
              </w:rPr>
              <w:t>8</w:t>
            </w:r>
            <w:r w:rsidR="008F111A" w:rsidRPr="00C55AAD">
              <w:rPr>
                <w:rFonts w:cs="Arial"/>
                <w:color w:val="000000"/>
                <w:sz w:val="22"/>
                <w:szCs w:val="22"/>
              </w:rPr>
              <w:t xml:space="preserve"> </w:t>
            </w:r>
            <w:r w:rsidRPr="00C55AAD">
              <w:rPr>
                <w:rFonts w:cs="Arial"/>
                <w:color w:val="000000"/>
                <w:sz w:val="22"/>
                <w:szCs w:val="22"/>
              </w:rPr>
              <w:t>total)</w:t>
            </w:r>
          </w:p>
          <w:p w14:paraId="2F0701AE" w14:textId="77777777" w:rsidR="001C7D85" w:rsidRDefault="001C7D85" w:rsidP="00C57E43">
            <w:pPr>
              <w:rPr>
                <w:rFonts w:cs="Arial"/>
                <w:color w:val="000000"/>
                <w:sz w:val="22"/>
                <w:szCs w:val="22"/>
              </w:rPr>
            </w:pPr>
          </w:p>
          <w:p w14:paraId="3AD84841" w14:textId="614C0F83" w:rsidR="003260D8" w:rsidRPr="00C55AAD" w:rsidRDefault="001C7D85" w:rsidP="003A1514">
            <w:pPr>
              <w:rPr>
                <w:rFonts w:cs="Arial"/>
                <w:color w:val="000000"/>
                <w:sz w:val="22"/>
                <w:szCs w:val="22"/>
              </w:rPr>
            </w:pPr>
            <w:r>
              <w:rPr>
                <w:rFonts w:cs="Arial"/>
                <w:color w:val="000000"/>
                <w:sz w:val="22"/>
                <w:szCs w:val="22"/>
              </w:rPr>
              <w:t>Total budget (</w:t>
            </w:r>
            <w:r w:rsidR="00FE5D08">
              <w:rPr>
                <w:rFonts w:cs="Arial"/>
                <w:color w:val="000000"/>
                <w:sz w:val="22"/>
                <w:szCs w:val="22"/>
              </w:rPr>
              <w:t>2</w:t>
            </w:r>
            <w:r w:rsidR="0028265D">
              <w:rPr>
                <w:rFonts w:cs="Arial"/>
                <w:color w:val="000000"/>
                <w:sz w:val="22"/>
                <w:szCs w:val="22"/>
              </w:rPr>
              <w:t>3</w:t>
            </w:r>
            <w:r>
              <w:rPr>
                <w:rFonts w:cs="Arial"/>
                <w:color w:val="000000"/>
                <w:sz w:val="22"/>
                <w:szCs w:val="22"/>
              </w:rPr>
              <w:t>/2</w:t>
            </w:r>
            <w:r w:rsidR="0028265D">
              <w:rPr>
                <w:rFonts w:cs="Arial"/>
                <w:color w:val="000000"/>
                <w:sz w:val="22"/>
                <w:szCs w:val="22"/>
              </w:rPr>
              <w:t>4</w:t>
            </w:r>
            <w:r>
              <w:rPr>
                <w:rFonts w:cs="Arial"/>
                <w:color w:val="000000"/>
                <w:sz w:val="22"/>
                <w:szCs w:val="22"/>
              </w:rPr>
              <w:t xml:space="preserve">) </w:t>
            </w:r>
            <w:r w:rsidR="003260D8" w:rsidRPr="00C55AAD">
              <w:rPr>
                <w:rFonts w:cs="Arial"/>
                <w:color w:val="000000"/>
                <w:sz w:val="22"/>
                <w:szCs w:val="22"/>
              </w:rPr>
              <w:t>£</w:t>
            </w:r>
            <w:r w:rsidR="00710FFC">
              <w:rPr>
                <w:rFonts w:cs="Arial"/>
                <w:color w:val="000000"/>
                <w:sz w:val="22"/>
                <w:szCs w:val="22"/>
              </w:rPr>
              <w:t>2,931,600</w:t>
            </w:r>
          </w:p>
        </w:tc>
      </w:tr>
      <w:tr w:rsidR="003260D8" w:rsidRPr="00AF5DD6" w14:paraId="25DBF61E" w14:textId="77777777" w:rsidTr="003C05E8">
        <w:tc>
          <w:tcPr>
            <w:tcW w:w="3686" w:type="dxa"/>
          </w:tcPr>
          <w:p w14:paraId="626B5CB4" w14:textId="77777777" w:rsidR="003260D8" w:rsidRPr="005C53BA" w:rsidRDefault="003260D8" w:rsidP="00644A98">
            <w:pPr>
              <w:rPr>
                <w:rFonts w:cs="Arial"/>
                <w:b/>
                <w:sz w:val="22"/>
                <w:szCs w:val="22"/>
              </w:rPr>
            </w:pPr>
            <w:r w:rsidRPr="005C53BA">
              <w:rPr>
                <w:rFonts w:cs="Arial"/>
                <w:b/>
                <w:sz w:val="22"/>
                <w:szCs w:val="22"/>
              </w:rPr>
              <w:t>Directors</w:t>
            </w:r>
          </w:p>
          <w:p w14:paraId="4BD050FD" w14:textId="77777777" w:rsidR="003260D8" w:rsidRDefault="005918BD" w:rsidP="00D32888">
            <w:pPr>
              <w:numPr>
                <w:ilvl w:val="0"/>
                <w:numId w:val="25"/>
              </w:numPr>
              <w:ind w:left="176" w:hanging="176"/>
              <w:rPr>
                <w:rFonts w:cs="Arial"/>
                <w:sz w:val="22"/>
                <w:szCs w:val="22"/>
              </w:rPr>
            </w:pPr>
            <w:r w:rsidRPr="008A29EB">
              <w:t>Director of Corporate Resources &amp; Section 151 Officer</w:t>
            </w:r>
          </w:p>
          <w:p w14:paraId="11BFCD75" w14:textId="77777777" w:rsidR="008E0677" w:rsidRDefault="008E0677" w:rsidP="008E0677">
            <w:pPr>
              <w:ind w:left="176"/>
              <w:rPr>
                <w:rFonts w:cs="Arial"/>
                <w:sz w:val="22"/>
                <w:szCs w:val="22"/>
              </w:rPr>
            </w:pPr>
          </w:p>
          <w:p w14:paraId="0639C94A" w14:textId="77777777" w:rsidR="008E0677" w:rsidRPr="001C7D85" w:rsidRDefault="005918BD" w:rsidP="00D32888">
            <w:pPr>
              <w:pStyle w:val="ListParagraph"/>
              <w:numPr>
                <w:ilvl w:val="0"/>
                <w:numId w:val="25"/>
              </w:numPr>
              <w:ind w:left="207" w:hanging="207"/>
              <w:rPr>
                <w:rFonts w:cs="Arial"/>
                <w:sz w:val="22"/>
              </w:rPr>
            </w:pPr>
            <w:r w:rsidRPr="008A29EB">
              <w:t>Corporate Director (Environment, Communities &amp; Leisure</w:t>
            </w:r>
            <w:r w:rsidRPr="001C7D85">
              <w:rPr>
                <w:rFonts w:cs="Arial"/>
                <w:sz w:val="22"/>
              </w:rPr>
              <w:t xml:space="preserve"> </w:t>
            </w:r>
          </w:p>
          <w:p w14:paraId="71EBCFCE" w14:textId="77777777" w:rsidR="00ED3C00" w:rsidRDefault="00ED3C00" w:rsidP="008E0677">
            <w:pPr>
              <w:ind w:left="176"/>
              <w:rPr>
                <w:rFonts w:cs="Arial"/>
                <w:sz w:val="22"/>
                <w:szCs w:val="22"/>
              </w:rPr>
            </w:pPr>
          </w:p>
          <w:p w14:paraId="7E900D50" w14:textId="77777777" w:rsidR="003260D8" w:rsidRDefault="003260D8" w:rsidP="005918BD">
            <w:pPr>
              <w:rPr>
                <w:rFonts w:cs="Arial"/>
                <w:sz w:val="22"/>
                <w:szCs w:val="22"/>
              </w:rPr>
            </w:pPr>
          </w:p>
          <w:p w14:paraId="775BC373" w14:textId="77777777" w:rsidR="003260D8" w:rsidRPr="005C53BA" w:rsidRDefault="003260D8" w:rsidP="00BD19E4">
            <w:pPr>
              <w:ind w:left="318"/>
              <w:rPr>
                <w:rFonts w:cs="Arial"/>
                <w:sz w:val="22"/>
                <w:szCs w:val="22"/>
              </w:rPr>
            </w:pPr>
          </w:p>
        </w:tc>
        <w:tc>
          <w:tcPr>
            <w:tcW w:w="1985" w:type="dxa"/>
          </w:tcPr>
          <w:p w14:paraId="166609B1" w14:textId="77777777" w:rsidR="003260D8" w:rsidRPr="00617741" w:rsidRDefault="003260D8" w:rsidP="00BD19E4">
            <w:pPr>
              <w:ind w:left="175"/>
              <w:rPr>
                <w:rFonts w:cs="Arial"/>
                <w:color w:val="000000"/>
                <w:sz w:val="20"/>
              </w:rPr>
            </w:pPr>
          </w:p>
          <w:p w14:paraId="638E88F7" w14:textId="524F85E5" w:rsidR="003260D8" w:rsidRDefault="003260D8" w:rsidP="001C7D85">
            <w:pPr>
              <w:ind w:left="-222" w:firstLine="222"/>
              <w:rPr>
                <w:rFonts w:cs="Arial"/>
                <w:color w:val="000000"/>
                <w:sz w:val="20"/>
              </w:rPr>
            </w:pPr>
            <w:r w:rsidRPr="00617741">
              <w:rPr>
                <w:rFonts w:cs="Arial"/>
                <w:color w:val="000000"/>
                <w:sz w:val="20"/>
              </w:rPr>
              <w:t>£</w:t>
            </w:r>
            <w:r w:rsidR="0031199F">
              <w:rPr>
                <w:rFonts w:cs="Arial"/>
                <w:color w:val="000000"/>
                <w:sz w:val="20"/>
              </w:rPr>
              <w:t>8</w:t>
            </w:r>
            <w:r w:rsidR="007B0AD2">
              <w:rPr>
                <w:rFonts w:cs="Arial"/>
                <w:color w:val="000000"/>
                <w:sz w:val="20"/>
              </w:rPr>
              <w:t>3,787 -</w:t>
            </w:r>
          </w:p>
          <w:p w14:paraId="6E295860" w14:textId="0CB18AE4" w:rsidR="005918BD" w:rsidRDefault="005918BD" w:rsidP="001C7D85">
            <w:pPr>
              <w:ind w:left="-222" w:firstLine="222"/>
              <w:rPr>
                <w:rFonts w:cs="Arial"/>
                <w:color w:val="000000"/>
                <w:sz w:val="20"/>
              </w:rPr>
            </w:pPr>
            <w:r>
              <w:rPr>
                <w:rFonts w:cs="Arial"/>
                <w:color w:val="000000"/>
                <w:sz w:val="20"/>
              </w:rPr>
              <w:t>£8</w:t>
            </w:r>
            <w:r w:rsidR="007B0AD2">
              <w:rPr>
                <w:rFonts w:cs="Arial"/>
                <w:color w:val="000000"/>
                <w:sz w:val="20"/>
              </w:rPr>
              <w:t>6,119 -</w:t>
            </w:r>
          </w:p>
          <w:p w14:paraId="43304340" w14:textId="22BF2E2A" w:rsidR="005918BD" w:rsidRPr="00617741" w:rsidRDefault="001C7D85" w:rsidP="001C7D85">
            <w:pPr>
              <w:ind w:left="-222" w:firstLine="222"/>
              <w:rPr>
                <w:rFonts w:cs="Arial"/>
                <w:color w:val="000000"/>
                <w:sz w:val="20"/>
              </w:rPr>
            </w:pPr>
            <w:r>
              <w:rPr>
                <w:rFonts w:cs="Arial"/>
                <w:color w:val="000000"/>
                <w:sz w:val="20"/>
              </w:rPr>
              <w:t>£</w:t>
            </w:r>
            <w:r w:rsidR="005918BD">
              <w:rPr>
                <w:rFonts w:cs="Arial"/>
                <w:color w:val="000000"/>
                <w:sz w:val="20"/>
              </w:rPr>
              <w:t>8</w:t>
            </w:r>
            <w:r w:rsidR="007B0AD2">
              <w:rPr>
                <w:rFonts w:cs="Arial"/>
                <w:color w:val="000000"/>
                <w:sz w:val="20"/>
              </w:rPr>
              <w:t>9</w:t>
            </w:r>
            <w:r w:rsidR="0031199F">
              <w:rPr>
                <w:rFonts w:cs="Arial"/>
                <w:color w:val="000000"/>
                <w:sz w:val="20"/>
              </w:rPr>
              <w:t>,6</w:t>
            </w:r>
            <w:r w:rsidR="007B0AD2">
              <w:rPr>
                <w:rFonts w:cs="Arial"/>
                <w:color w:val="000000"/>
                <w:sz w:val="20"/>
              </w:rPr>
              <w:t>31</w:t>
            </w:r>
          </w:p>
          <w:p w14:paraId="26812A38" w14:textId="77777777" w:rsidR="003260D8" w:rsidRPr="00F57172" w:rsidRDefault="003260D8" w:rsidP="00644A98">
            <w:pPr>
              <w:rPr>
                <w:rFonts w:cs="Arial"/>
                <w:sz w:val="20"/>
              </w:rPr>
            </w:pPr>
            <w:r>
              <w:rPr>
                <w:rFonts w:cs="Arial"/>
                <w:sz w:val="20"/>
              </w:rPr>
              <w:t>Progression is performance-related</w:t>
            </w:r>
            <w:r w:rsidR="00166139">
              <w:rPr>
                <w:rFonts w:cs="Arial"/>
                <w:sz w:val="20"/>
              </w:rPr>
              <w:t xml:space="preserve"> for all posts</w:t>
            </w:r>
          </w:p>
        </w:tc>
        <w:tc>
          <w:tcPr>
            <w:tcW w:w="1559" w:type="dxa"/>
          </w:tcPr>
          <w:p w14:paraId="443D6C67" w14:textId="77777777" w:rsidR="003260D8" w:rsidRPr="00AF5DD6" w:rsidRDefault="003260D8" w:rsidP="0008464B">
            <w:pPr>
              <w:rPr>
                <w:rFonts w:cs="Arial"/>
                <w:szCs w:val="24"/>
              </w:rPr>
            </w:pPr>
            <w:r>
              <w:rPr>
                <w:rFonts w:cs="Arial"/>
                <w:szCs w:val="24"/>
              </w:rPr>
              <w:t>No</w:t>
            </w:r>
          </w:p>
        </w:tc>
        <w:tc>
          <w:tcPr>
            <w:tcW w:w="1843" w:type="dxa"/>
          </w:tcPr>
          <w:p w14:paraId="03747EE4" w14:textId="022270B3" w:rsidR="003260D8" w:rsidRPr="007F05F7" w:rsidRDefault="003A1514" w:rsidP="00D32888">
            <w:pPr>
              <w:numPr>
                <w:ilvl w:val="0"/>
                <w:numId w:val="26"/>
              </w:numPr>
              <w:ind w:left="207" w:hanging="162"/>
              <w:rPr>
                <w:rFonts w:cs="Arial"/>
                <w:color w:val="000000"/>
                <w:sz w:val="22"/>
                <w:szCs w:val="22"/>
              </w:rPr>
            </w:pPr>
            <w:r>
              <w:rPr>
                <w:rFonts w:cs="Arial"/>
                <w:color w:val="000000"/>
                <w:sz w:val="22"/>
                <w:szCs w:val="22"/>
              </w:rPr>
              <w:t>8</w:t>
            </w:r>
            <w:r w:rsidR="0028265D">
              <w:rPr>
                <w:rFonts w:cs="Arial"/>
                <w:color w:val="000000"/>
                <w:sz w:val="22"/>
                <w:szCs w:val="22"/>
              </w:rPr>
              <w:t>9</w:t>
            </w:r>
            <w:r w:rsidR="003260D8" w:rsidRPr="007F05F7">
              <w:rPr>
                <w:rFonts w:cs="Arial"/>
                <w:color w:val="000000"/>
                <w:sz w:val="22"/>
                <w:szCs w:val="22"/>
              </w:rPr>
              <w:t xml:space="preserve"> staff</w:t>
            </w:r>
          </w:p>
          <w:p w14:paraId="2734B1A5" w14:textId="77777777" w:rsidR="00FE5D08" w:rsidRDefault="00FE5D08" w:rsidP="00BD19E4">
            <w:pPr>
              <w:rPr>
                <w:rFonts w:cs="Arial"/>
                <w:color w:val="000000"/>
                <w:sz w:val="22"/>
                <w:szCs w:val="22"/>
              </w:rPr>
            </w:pPr>
          </w:p>
          <w:p w14:paraId="2B8FBEFD" w14:textId="75DB1338" w:rsidR="003260D8" w:rsidRPr="007F05F7" w:rsidRDefault="00FE5D08" w:rsidP="00BD19E4">
            <w:pPr>
              <w:rPr>
                <w:rFonts w:cs="Arial"/>
                <w:color w:val="000000"/>
                <w:sz w:val="22"/>
                <w:szCs w:val="22"/>
              </w:rPr>
            </w:pPr>
            <w:r>
              <w:rPr>
                <w:rFonts w:cs="Arial"/>
                <w:color w:val="000000"/>
                <w:sz w:val="22"/>
                <w:szCs w:val="22"/>
              </w:rPr>
              <w:t>Total budget (2</w:t>
            </w:r>
            <w:r w:rsidR="0028265D">
              <w:rPr>
                <w:rFonts w:cs="Arial"/>
                <w:color w:val="000000"/>
                <w:sz w:val="22"/>
                <w:szCs w:val="22"/>
              </w:rPr>
              <w:t>3</w:t>
            </w:r>
            <w:r>
              <w:rPr>
                <w:rFonts w:cs="Arial"/>
                <w:color w:val="000000"/>
                <w:sz w:val="22"/>
                <w:szCs w:val="22"/>
              </w:rPr>
              <w:t>/2</w:t>
            </w:r>
            <w:r w:rsidR="0028265D">
              <w:rPr>
                <w:rFonts w:cs="Arial"/>
                <w:color w:val="000000"/>
                <w:sz w:val="22"/>
                <w:szCs w:val="22"/>
              </w:rPr>
              <w:t>4</w:t>
            </w:r>
            <w:r>
              <w:rPr>
                <w:rFonts w:cs="Arial"/>
                <w:color w:val="000000"/>
                <w:sz w:val="22"/>
                <w:szCs w:val="22"/>
              </w:rPr>
              <w:t xml:space="preserve">) </w:t>
            </w:r>
            <w:r w:rsidRPr="00C55AAD">
              <w:rPr>
                <w:rFonts w:cs="Arial"/>
                <w:color w:val="000000"/>
                <w:sz w:val="22"/>
                <w:szCs w:val="22"/>
              </w:rPr>
              <w:t>£</w:t>
            </w:r>
            <w:r w:rsidR="00085FE4">
              <w:rPr>
                <w:rFonts w:cs="Arial"/>
                <w:color w:val="000000"/>
                <w:sz w:val="22"/>
                <w:szCs w:val="22"/>
              </w:rPr>
              <w:t>2</w:t>
            </w:r>
            <w:r w:rsidR="00710FFC">
              <w:rPr>
                <w:rFonts w:cs="Arial"/>
                <w:color w:val="000000"/>
                <w:sz w:val="22"/>
                <w:szCs w:val="22"/>
              </w:rPr>
              <w:t>5</w:t>
            </w:r>
            <w:r w:rsidR="003A1514">
              <w:rPr>
                <w:rFonts w:cs="Arial"/>
                <w:color w:val="000000"/>
                <w:sz w:val="22"/>
                <w:szCs w:val="22"/>
              </w:rPr>
              <w:t>,</w:t>
            </w:r>
            <w:r w:rsidR="00710FFC">
              <w:rPr>
                <w:rFonts w:cs="Arial"/>
                <w:color w:val="000000"/>
                <w:sz w:val="22"/>
                <w:szCs w:val="22"/>
              </w:rPr>
              <w:t>657</w:t>
            </w:r>
            <w:r w:rsidR="00085FE4">
              <w:rPr>
                <w:rFonts w:cs="Arial"/>
                <w:color w:val="000000"/>
                <w:sz w:val="22"/>
                <w:szCs w:val="22"/>
              </w:rPr>
              <w:t>,</w:t>
            </w:r>
            <w:r w:rsidR="00710FFC">
              <w:rPr>
                <w:rFonts w:cs="Arial"/>
                <w:color w:val="000000"/>
                <w:sz w:val="22"/>
                <w:szCs w:val="22"/>
              </w:rPr>
              <w:t>9</w:t>
            </w:r>
            <w:r w:rsidR="00085FE4">
              <w:rPr>
                <w:rFonts w:cs="Arial"/>
                <w:color w:val="000000"/>
                <w:sz w:val="22"/>
                <w:szCs w:val="22"/>
              </w:rPr>
              <w:t>00</w:t>
            </w:r>
          </w:p>
          <w:p w14:paraId="449EC4A7" w14:textId="77777777" w:rsidR="003260D8" w:rsidRDefault="003260D8" w:rsidP="00BD19E4">
            <w:pPr>
              <w:rPr>
                <w:rFonts w:cs="Arial"/>
                <w:color w:val="000000"/>
                <w:sz w:val="22"/>
                <w:szCs w:val="22"/>
              </w:rPr>
            </w:pPr>
          </w:p>
          <w:p w14:paraId="19EB2538" w14:textId="5C84F9B6" w:rsidR="003260D8" w:rsidRDefault="008F111A" w:rsidP="001829F5">
            <w:pPr>
              <w:rPr>
                <w:rFonts w:cs="Arial"/>
                <w:color w:val="000000"/>
                <w:sz w:val="22"/>
                <w:szCs w:val="22"/>
              </w:rPr>
            </w:pPr>
            <w:r w:rsidRPr="007F05F7">
              <w:rPr>
                <w:rFonts w:cs="Arial"/>
                <w:color w:val="000000"/>
                <w:sz w:val="22"/>
                <w:szCs w:val="22"/>
              </w:rPr>
              <w:t xml:space="preserve">ii) </w:t>
            </w:r>
            <w:r w:rsidR="001C7D85">
              <w:rPr>
                <w:rFonts w:cs="Arial"/>
                <w:color w:val="000000"/>
                <w:sz w:val="22"/>
                <w:szCs w:val="22"/>
              </w:rPr>
              <w:t>2</w:t>
            </w:r>
            <w:r w:rsidR="0028265D">
              <w:rPr>
                <w:rFonts w:cs="Arial"/>
                <w:color w:val="000000"/>
                <w:sz w:val="22"/>
                <w:szCs w:val="22"/>
              </w:rPr>
              <w:t>63</w:t>
            </w:r>
            <w:r w:rsidR="00FF0C4A" w:rsidRPr="007F05F7">
              <w:rPr>
                <w:rFonts w:cs="Arial"/>
                <w:color w:val="000000"/>
                <w:sz w:val="22"/>
                <w:szCs w:val="22"/>
              </w:rPr>
              <w:t xml:space="preserve"> </w:t>
            </w:r>
            <w:r w:rsidR="003260D8" w:rsidRPr="007F05F7">
              <w:rPr>
                <w:rFonts w:cs="Arial"/>
                <w:color w:val="000000"/>
                <w:sz w:val="22"/>
                <w:szCs w:val="22"/>
              </w:rPr>
              <w:t>staff</w:t>
            </w:r>
          </w:p>
          <w:p w14:paraId="6CFF940E" w14:textId="77777777" w:rsidR="00FE5D08" w:rsidRDefault="00FE5D08" w:rsidP="001829F5">
            <w:pPr>
              <w:rPr>
                <w:rFonts w:cs="Arial"/>
                <w:color w:val="000000"/>
                <w:sz w:val="22"/>
                <w:szCs w:val="22"/>
              </w:rPr>
            </w:pPr>
          </w:p>
          <w:p w14:paraId="23DFDE90" w14:textId="5F6311BE" w:rsidR="00FE5D08" w:rsidRPr="007F05F7" w:rsidRDefault="00FE5D08" w:rsidP="001829F5">
            <w:pPr>
              <w:rPr>
                <w:rFonts w:cs="Arial"/>
                <w:color w:val="000000"/>
                <w:sz w:val="22"/>
                <w:szCs w:val="22"/>
              </w:rPr>
            </w:pPr>
            <w:r>
              <w:rPr>
                <w:rFonts w:cs="Arial"/>
                <w:color w:val="000000"/>
                <w:sz w:val="22"/>
                <w:szCs w:val="22"/>
              </w:rPr>
              <w:t>Total budget (2</w:t>
            </w:r>
            <w:r w:rsidR="0028265D">
              <w:rPr>
                <w:rFonts w:cs="Arial"/>
                <w:color w:val="000000"/>
                <w:sz w:val="22"/>
                <w:szCs w:val="22"/>
              </w:rPr>
              <w:t>3</w:t>
            </w:r>
            <w:r>
              <w:rPr>
                <w:rFonts w:cs="Arial"/>
                <w:color w:val="000000"/>
                <w:sz w:val="22"/>
                <w:szCs w:val="22"/>
              </w:rPr>
              <w:t>/2</w:t>
            </w:r>
            <w:r w:rsidR="0028265D">
              <w:rPr>
                <w:rFonts w:cs="Arial"/>
                <w:color w:val="000000"/>
                <w:sz w:val="22"/>
                <w:szCs w:val="22"/>
              </w:rPr>
              <w:t>4</w:t>
            </w:r>
            <w:r>
              <w:rPr>
                <w:rFonts w:cs="Arial"/>
                <w:color w:val="000000"/>
                <w:sz w:val="22"/>
                <w:szCs w:val="22"/>
              </w:rPr>
              <w:t xml:space="preserve">) </w:t>
            </w:r>
            <w:r w:rsidRPr="00C55AAD">
              <w:rPr>
                <w:rFonts w:cs="Arial"/>
                <w:color w:val="000000"/>
                <w:sz w:val="22"/>
                <w:szCs w:val="22"/>
              </w:rPr>
              <w:t>£</w:t>
            </w:r>
            <w:r w:rsidR="00085FE4">
              <w:rPr>
                <w:rFonts w:cs="Arial"/>
                <w:color w:val="000000"/>
                <w:sz w:val="22"/>
                <w:szCs w:val="22"/>
              </w:rPr>
              <w:t>1</w:t>
            </w:r>
            <w:r w:rsidR="00710FFC">
              <w:rPr>
                <w:rFonts w:cs="Arial"/>
                <w:color w:val="000000"/>
                <w:sz w:val="22"/>
                <w:szCs w:val="22"/>
              </w:rPr>
              <w:t>4</w:t>
            </w:r>
            <w:r w:rsidR="00085FE4">
              <w:rPr>
                <w:rFonts w:cs="Arial"/>
                <w:color w:val="000000"/>
                <w:sz w:val="22"/>
                <w:szCs w:val="22"/>
              </w:rPr>
              <w:t>,</w:t>
            </w:r>
            <w:r w:rsidR="00710FFC">
              <w:rPr>
                <w:rFonts w:cs="Arial"/>
                <w:color w:val="000000"/>
                <w:sz w:val="22"/>
                <w:szCs w:val="22"/>
              </w:rPr>
              <w:t>668</w:t>
            </w:r>
            <w:r w:rsidR="00085FE4">
              <w:rPr>
                <w:rFonts w:cs="Arial"/>
                <w:color w:val="000000"/>
                <w:sz w:val="22"/>
                <w:szCs w:val="22"/>
              </w:rPr>
              <w:t>,</w:t>
            </w:r>
            <w:r w:rsidR="00710FFC">
              <w:rPr>
                <w:rFonts w:cs="Arial"/>
                <w:color w:val="000000"/>
                <w:sz w:val="22"/>
                <w:szCs w:val="22"/>
              </w:rPr>
              <w:t>8</w:t>
            </w:r>
            <w:r w:rsidR="00085FE4">
              <w:rPr>
                <w:rFonts w:cs="Arial"/>
                <w:color w:val="000000"/>
                <w:sz w:val="22"/>
                <w:szCs w:val="22"/>
              </w:rPr>
              <w:t>00</w:t>
            </w:r>
          </w:p>
          <w:p w14:paraId="5E6A0F5B" w14:textId="77777777" w:rsidR="003260D8" w:rsidRPr="007F05F7" w:rsidRDefault="003260D8" w:rsidP="00494FD9">
            <w:pPr>
              <w:jc w:val="right"/>
              <w:rPr>
                <w:rFonts w:cs="Arial"/>
                <w:color w:val="000000"/>
                <w:sz w:val="22"/>
                <w:szCs w:val="22"/>
              </w:rPr>
            </w:pPr>
            <w:r w:rsidRPr="007F05F7">
              <w:rPr>
                <w:rFonts w:cs="Arial"/>
                <w:color w:val="000000"/>
                <w:sz w:val="22"/>
                <w:szCs w:val="22"/>
              </w:rPr>
              <w:t xml:space="preserve">   </w:t>
            </w:r>
          </w:p>
        </w:tc>
      </w:tr>
      <w:tr w:rsidR="004E2748" w:rsidRPr="00AF5DD6" w14:paraId="18BA4E59" w14:textId="77777777" w:rsidTr="003C05E8">
        <w:tc>
          <w:tcPr>
            <w:tcW w:w="3686" w:type="dxa"/>
          </w:tcPr>
          <w:p w14:paraId="027DB17F" w14:textId="77777777" w:rsidR="004E2748" w:rsidRPr="005C53BA" w:rsidRDefault="004E2748" w:rsidP="004E2748">
            <w:pPr>
              <w:rPr>
                <w:rFonts w:cs="Arial"/>
                <w:b/>
                <w:sz w:val="22"/>
                <w:szCs w:val="22"/>
              </w:rPr>
            </w:pPr>
            <w:r>
              <w:rPr>
                <w:rFonts w:cs="Arial"/>
                <w:b/>
                <w:sz w:val="22"/>
                <w:szCs w:val="22"/>
              </w:rPr>
              <w:t xml:space="preserve">Head of </w:t>
            </w:r>
            <w:r w:rsidRPr="005C53BA">
              <w:rPr>
                <w:rFonts w:cs="Arial"/>
                <w:b/>
                <w:sz w:val="22"/>
                <w:szCs w:val="22"/>
              </w:rPr>
              <w:t>Service</w:t>
            </w:r>
            <w:r>
              <w:rPr>
                <w:rFonts w:cs="Arial"/>
                <w:b/>
                <w:sz w:val="22"/>
                <w:szCs w:val="22"/>
              </w:rPr>
              <w:t xml:space="preserve"> - Band 4 +5</w:t>
            </w:r>
            <w:proofErr w:type="gramStart"/>
            <w:r>
              <w:rPr>
                <w:rFonts w:cs="Arial"/>
                <w:b/>
                <w:sz w:val="22"/>
                <w:szCs w:val="22"/>
              </w:rPr>
              <w:t>%</w:t>
            </w:r>
            <w:r w:rsidRPr="005C53BA">
              <w:rPr>
                <w:rFonts w:cs="Arial"/>
                <w:b/>
                <w:sz w:val="22"/>
                <w:szCs w:val="22"/>
              </w:rPr>
              <w:t>;</w:t>
            </w:r>
            <w:proofErr w:type="gramEnd"/>
            <w:r w:rsidRPr="005C53BA">
              <w:rPr>
                <w:rFonts w:cs="Arial"/>
                <w:b/>
                <w:sz w:val="22"/>
                <w:szCs w:val="22"/>
              </w:rPr>
              <w:t xml:space="preserve"> </w:t>
            </w:r>
          </w:p>
          <w:p w14:paraId="2B0F0B63" w14:textId="77777777" w:rsidR="004E2748" w:rsidRDefault="004E2748" w:rsidP="00D32888">
            <w:pPr>
              <w:numPr>
                <w:ilvl w:val="0"/>
                <w:numId w:val="19"/>
              </w:numPr>
              <w:rPr>
                <w:rFonts w:cs="Arial"/>
                <w:sz w:val="22"/>
                <w:szCs w:val="22"/>
              </w:rPr>
            </w:pPr>
            <w:r>
              <w:rPr>
                <w:rFonts w:cs="Arial"/>
                <w:sz w:val="22"/>
                <w:szCs w:val="22"/>
              </w:rPr>
              <w:t xml:space="preserve">Governance &amp; Customer </w:t>
            </w:r>
            <w:proofErr w:type="spellStart"/>
            <w:r>
              <w:rPr>
                <w:rFonts w:cs="Arial"/>
                <w:sz w:val="22"/>
                <w:szCs w:val="22"/>
              </w:rPr>
              <w:t>Svs</w:t>
            </w:r>
            <w:proofErr w:type="spellEnd"/>
          </w:p>
          <w:p w14:paraId="7B349BEC" w14:textId="77777777" w:rsidR="004E2748" w:rsidRPr="004E2748" w:rsidRDefault="004E2748" w:rsidP="00644A98">
            <w:pPr>
              <w:rPr>
                <w:rFonts w:cs="Arial"/>
                <w:sz w:val="22"/>
                <w:szCs w:val="22"/>
              </w:rPr>
            </w:pPr>
            <w:r w:rsidRPr="004E2748">
              <w:rPr>
                <w:rFonts w:cs="Arial"/>
                <w:sz w:val="22"/>
                <w:szCs w:val="22"/>
              </w:rPr>
              <w:t>(includes Monitoring Officer role)</w:t>
            </w:r>
          </w:p>
          <w:p w14:paraId="2C4E9E1A" w14:textId="77777777" w:rsidR="004E2748" w:rsidRDefault="004E2748" w:rsidP="00644A98">
            <w:pPr>
              <w:rPr>
                <w:rFonts w:cs="Arial"/>
                <w:b/>
                <w:sz w:val="22"/>
                <w:szCs w:val="22"/>
              </w:rPr>
            </w:pPr>
          </w:p>
        </w:tc>
        <w:tc>
          <w:tcPr>
            <w:tcW w:w="1985" w:type="dxa"/>
          </w:tcPr>
          <w:p w14:paraId="5F141E8A" w14:textId="40AA2DFB" w:rsidR="004E2748" w:rsidRDefault="004E2748" w:rsidP="001829F5">
            <w:pPr>
              <w:rPr>
                <w:rFonts w:cs="Arial"/>
                <w:sz w:val="20"/>
              </w:rPr>
            </w:pPr>
            <w:r>
              <w:rPr>
                <w:rFonts w:cs="Arial"/>
                <w:sz w:val="20"/>
              </w:rPr>
              <w:t>£7</w:t>
            </w:r>
            <w:r w:rsidR="007B0AD2">
              <w:rPr>
                <w:rFonts w:cs="Arial"/>
                <w:sz w:val="20"/>
              </w:rPr>
              <w:t>5,888</w:t>
            </w:r>
            <w:r>
              <w:rPr>
                <w:rFonts w:cs="Arial"/>
                <w:sz w:val="20"/>
              </w:rPr>
              <w:t xml:space="preserve"> -</w:t>
            </w:r>
          </w:p>
          <w:p w14:paraId="21E47ED5" w14:textId="58CA929F" w:rsidR="004E2748" w:rsidRDefault="004E2748" w:rsidP="001829F5">
            <w:pPr>
              <w:rPr>
                <w:rFonts w:cs="Arial"/>
                <w:sz w:val="20"/>
              </w:rPr>
            </w:pPr>
            <w:r>
              <w:rPr>
                <w:rFonts w:cs="Arial"/>
                <w:sz w:val="20"/>
              </w:rPr>
              <w:t>£7</w:t>
            </w:r>
            <w:r w:rsidR="007B0AD2">
              <w:rPr>
                <w:rFonts w:cs="Arial"/>
                <w:sz w:val="20"/>
              </w:rPr>
              <w:t>8,194</w:t>
            </w:r>
            <w:r>
              <w:rPr>
                <w:rFonts w:cs="Arial"/>
                <w:sz w:val="20"/>
              </w:rPr>
              <w:t xml:space="preserve"> -</w:t>
            </w:r>
          </w:p>
          <w:p w14:paraId="55E27E08" w14:textId="7A15C219" w:rsidR="004E2748" w:rsidRDefault="004E2748" w:rsidP="001829F5">
            <w:pPr>
              <w:rPr>
                <w:rFonts w:cs="Arial"/>
                <w:sz w:val="20"/>
              </w:rPr>
            </w:pPr>
            <w:r>
              <w:rPr>
                <w:rFonts w:cs="Arial"/>
                <w:sz w:val="20"/>
              </w:rPr>
              <w:t>£</w:t>
            </w:r>
            <w:r w:rsidR="007B0AD2">
              <w:rPr>
                <w:rFonts w:cs="Arial"/>
                <w:sz w:val="20"/>
              </w:rPr>
              <w:t>80,504</w:t>
            </w:r>
            <w:r>
              <w:rPr>
                <w:rFonts w:cs="Arial"/>
                <w:sz w:val="20"/>
              </w:rPr>
              <w:t xml:space="preserve"> </w:t>
            </w:r>
          </w:p>
          <w:p w14:paraId="6D09CBC6" w14:textId="77777777" w:rsidR="004E2748" w:rsidRDefault="004E2748" w:rsidP="001829F5">
            <w:pPr>
              <w:rPr>
                <w:rFonts w:cs="Arial"/>
                <w:sz w:val="20"/>
              </w:rPr>
            </w:pPr>
          </w:p>
        </w:tc>
        <w:tc>
          <w:tcPr>
            <w:tcW w:w="1559" w:type="dxa"/>
          </w:tcPr>
          <w:p w14:paraId="2BDB6716" w14:textId="77777777" w:rsidR="004E2748" w:rsidRPr="00D24D16" w:rsidRDefault="004E2748">
            <w:pPr>
              <w:rPr>
                <w:rFonts w:cs="Arial"/>
                <w:szCs w:val="24"/>
              </w:rPr>
            </w:pPr>
            <w:r>
              <w:rPr>
                <w:rFonts w:cs="Arial"/>
                <w:szCs w:val="24"/>
              </w:rPr>
              <w:t>No</w:t>
            </w:r>
          </w:p>
        </w:tc>
        <w:tc>
          <w:tcPr>
            <w:tcW w:w="1843" w:type="dxa"/>
            <w:shd w:val="clear" w:color="auto" w:fill="BFBFBF"/>
          </w:tcPr>
          <w:p w14:paraId="1B0E9016" w14:textId="77777777" w:rsidR="004E2748" w:rsidRPr="00AF5DD6" w:rsidRDefault="004E2748" w:rsidP="00644A98">
            <w:pPr>
              <w:rPr>
                <w:rFonts w:cs="Arial"/>
                <w:szCs w:val="24"/>
              </w:rPr>
            </w:pPr>
          </w:p>
        </w:tc>
      </w:tr>
      <w:tr w:rsidR="003260D8" w:rsidRPr="00AF5DD6" w14:paraId="5583E350" w14:textId="77777777" w:rsidTr="003C05E8">
        <w:tc>
          <w:tcPr>
            <w:tcW w:w="3686" w:type="dxa"/>
          </w:tcPr>
          <w:p w14:paraId="3E5C6235" w14:textId="77777777" w:rsidR="003260D8" w:rsidRPr="005C53BA" w:rsidRDefault="005918BD" w:rsidP="00644A98">
            <w:pPr>
              <w:rPr>
                <w:rFonts w:cs="Arial"/>
                <w:b/>
                <w:sz w:val="22"/>
                <w:szCs w:val="22"/>
              </w:rPr>
            </w:pPr>
            <w:r>
              <w:rPr>
                <w:rFonts w:cs="Arial"/>
                <w:b/>
                <w:sz w:val="22"/>
                <w:szCs w:val="22"/>
              </w:rPr>
              <w:t xml:space="preserve">Heads of </w:t>
            </w:r>
            <w:r w:rsidR="003260D8" w:rsidRPr="005C53BA">
              <w:rPr>
                <w:rFonts w:cs="Arial"/>
                <w:b/>
                <w:sz w:val="22"/>
                <w:szCs w:val="22"/>
              </w:rPr>
              <w:t>Service</w:t>
            </w:r>
            <w:r w:rsidR="003260D8">
              <w:rPr>
                <w:rFonts w:cs="Arial"/>
                <w:b/>
                <w:sz w:val="22"/>
                <w:szCs w:val="22"/>
              </w:rPr>
              <w:t xml:space="preserve"> - Band </w:t>
            </w:r>
            <w:proofErr w:type="gramStart"/>
            <w:r w:rsidR="003260D8">
              <w:rPr>
                <w:rFonts w:cs="Arial"/>
                <w:b/>
                <w:sz w:val="22"/>
                <w:szCs w:val="22"/>
              </w:rPr>
              <w:t>4</w:t>
            </w:r>
            <w:r w:rsidR="003260D8" w:rsidRPr="005C53BA">
              <w:rPr>
                <w:rFonts w:cs="Arial"/>
                <w:b/>
                <w:sz w:val="22"/>
                <w:szCs w:val="22"/>
              </w:rPr>
              <w:t>;</w:t>
            </w:r>
            <w:proofErr w:type="gramEnd"/>
            <w:r w:rsidR="003260D8" w:rsidRPr="005C53BA">
              <w:rPr>
                <w:rFonts w:cs="Arial"/>
                <w:b/>
                <w:sz w:val="22"/>
                <w:szCs w:val="22"/>
              </w:rPr>
              <w:t xml:space="preserve"> </w:t>
            </w:r>
          </w:p>
          <w:p w14:paraId="793055BB" w14:textId="77777777" w:rsidR="003260D8" w:rsidRPr="00CD5CA0" w:rsidRDefault="003260D8" w:rsidP="00D32888">
            <w:pPr>
              <w:numPr>
                <w:ilvl w:val="0"/>
                <w:numId w:val="19"/>
              </w:numPr>
              <w:rPr>
                <w:rFonts w:cs="Arial"/>
                <w:sz w:val="22"/>
                <w:szCs w:val="22"/>
              </w:rPr>
            </w:pPr>
            <w:r w:rsidRPr="00CD5CA0">
              <w:rPr>
                <w:rFonts w:cs="Arial"/>
                <w:sz w:val="22"/>
                <w:szCs w:val="22"/>
              </w:rPr>
              <w:t>Financ</w:t>
            </w:r>
            <w:r w:rsidR="005918BD">
              <w:rPr>
                <w:rFonts w:cs="Arial"/>
                <w:sz w:val="22"/>
                <w:szCs w:val="22"/>
              </w:rPr>
              <w:t xml:space="preserve">e and ICT </w:t>
            </w:r>
          </w:p>
          <w:p w14:paraId="4E55D5E7" w14:textId="77777777" w:rsidR="005918BD" w:rsidRDefault="005918BD" w:rsidP="00D32888">
            <w:pPr>
              <w:numPr>
                <w:ilvl w:val="0"/>
                <w:numId w:val="19"/>
              </w:numPr>
              <w:rPr>
                <w:rFonts w:cs="Arial"/>
                <w:sz w:val="22"/>
                <w:szCs w:val="22"/>
              </w:rPr>
            </w:pPr>
            <w:r>
              <w:rPr>
                <w:rFonts w:cs="Arial"/>
                <w:sz w:val="22"/>
                <w:szCs w:val="22"/>
              </w:rPr>
              <w:t>Regeneration and Welfare</w:t>
            </w:r>
          </w:p>
          <w:p w14:paraId="4DFBD935" w14:textId="77777777" w:rsidR="005918BD" w:rsidRDefault="005918BD" w:rsidP="00D32888">
            <w:pPr>
              <w:numPr>
                <w:ilvl w:val="0"/>
                <w:numId w:val="19"/>
              </w:numPr>
              <w:rPr>
                <w:rFonts w:cs="Arial"/>
                <w:sz w:val="22"/>
                <w:szCs w:val="22"/>
              </w:rPr>
            </w:pPr>
            <w:r>
              <w:rPr>
                <w:rFonts w:cs="Arial"/>
                <w:sz w:val="22"/>
                <w:szCs w:val="22"/>
              </w:rPr>
              <w:t>Development and Place</w:t>
            </w:r>
          </w:p>
          <w:p w14:paraId="51C89B5F" w14:textId="77777777" w:rsidR="005918BD" w:rsidRDefault="005918BD" w:rsidP="00D32888">
            <w:pPr>
              <w:numPr>
                <w:ilvl w:val="0"/>
                <w:numId w:val="19"/>
              </w:numPr>
              <w:rPr>
                <w:rFonts w:cs="Arial"/>
                <w:sz w:val="22"/>
                <w:szCs w:val="22"/>
              </w:rPr>
            </w:pPr>
            <w:r>
              <w:rPr>
                <w:rFonts w:cs="Arial"/>
                <w:sz w:val="22"/>
                <w:szCs w:val="22"/>
              </w:rPr>
              <w:t>Environment</w:t>
            </w:r>
          </w:p>
          <w:p w14:paraId="17FD728A" w14:textId="77777777" w:rsidR="005918BD" w:rsidRPr="005918BD" w:rsidRDefault="005918BD" w:rsidP="00D32888">
            <w:pPr>
              <w:numPr>
                <w:ilvl w:val="0"/>
                <w:numId w:val="19"/>
              </w:numPr>
              <w:rPr>
                <w:rFonts w:cs="Arial"/>
                <w:sz w:val="22"/>
                <w:szCs w:val="22"/>
              </w:rPr>
            </w:pPr>
            <w:r>
              <w:rPr>
                <w:rFonts w:cs="Arial"/>
                <w:sz w:val="22"/>
                <w:szCs w:val="22"/>
              </w:rPr>
              <w:t>Communities and Leisure</w:t>
            </w:r>
          </w:p>
        </w:tc>
        <w:tc>
          <w:tcPr>
            <w:tcW w:w="1985" w:type="dxa"/>
          </w:tcPr>
          <w:p w14:paraId="711FE89A" w14:textId="13EBE689" w:rsidR="003260D8" w:rsidRDefault="003260D8" w:rsidP="001829F5">
            <w:pPr>
              <w:rPr>
                <w:rFonts w:cs="Arial"/>
                <w:sz w:val="20"/>
              </w:rPr>
            </w:pPr>
            <w:r>
              <w:rPr>
                <w:rFonts w:cs="Arial"/>
                <w:sz w:val="20"/>
              </w:rPr>
              <w:t>£</w:t>
            </w:r>
            <w:r w:rsidR="007B0AD2">
              <w:rPr>
                <w:rFonts w:cs="Arial"/>
                <w:sz w:val="20"/>
              </w:rPr>
              <w:t>72,275</w:t>
            </w:r>
            <w:r>
              <w:rPr>
                <w:rFonts w:cs="Arial"/>
                <w:sz w:val="20"/>
              </w:rPr>
              <w:t xml:space="preserve"> -</w:t>
            </w:r>
          </w:p>
          <w:p w14:paraId="702B5F4B" w14:textId="17C0A9FC" w:rsidR="003260D8" w:rsidRDefault="003260D8" w:rsidP="001829F5">
            <w:pPr>
              <w:rPr>
                <w:rFonts w:cs="Arial"/>
                <w:sz w:val="20"/>
              </w:rPr>
            </w:pPr>
            <w:r>
              <w:rPr>
                <w:rFonts w:cs="Arial"/>
                <w:sz w:val="20"/>
              </w:rPr>
              <w:t>£</w:t>
            </w:r>
            <w:r w:rsidR="00DA0AED">
              <w:rPr>
                <w:rFonts w:cs="Arial"/>
                <w:sz w:val="20"/>
              </w:rPr>
              <w:t>7</w:t>
            </w:r>
            <w:r w:rsidR="007B0AD2">
              <w:rPr>
                <w:rFonts w:cs="Arial"/>
                <w:sz w:val="20"/>
              </w:rPr>
              <w:t>4,470</w:t>
            </w:r>
            <w:r>
              <w:rPr>
                <w:rFonts w:cs="Arial"/>
                <w:sz w:val="20"/>
              </w:rPr>
              <w:t xml:space="preserve"> -</w:t>
            </w:r>
          </w:p>
          <w:p w14:paraId="4AF3AA1F" w14:textId="5F6AAA43" w:rsidR="003260D8" w:rsidRPr="00F57172" w:rsidRDefault="003260D8" w:rsidP="00DA0AED">
            <w:pPr>
              <w:rPr>
                <w:rFonts w:cs="Arial"/>
                <w:sz w:val="20"/>
              </w:rPr>
            </w:pPr>
            <w:r>
              <w:rPr>
                <w:rFonts w:cs="Arial"/>
                <w:sz w:val="20"/>
              </w:rPr>
              <w:t>£</w:t>
            </w:r>
            <w:r w:rsidR="004E2748">
              <w:rPr>
                <w:rFonts w:cs="Arial"/>
                <w:sz w:val="20"/>
              </w:rPr>
              <w:t>7</w:t>
            </w:r>
            <w:r w:rsidR="007B0AD2">
              <w:rPr>
                <w:rFonts w:cs="Arial"/>
                <w:sz w:val="20"/>
              </w:rPr>
              <w:t>6,672</w:t>
            </w:r>
          </w:p>
        </w:tc>
        <w:tc>
          <w:tcPr>
            <w:tcW w:w="1559" w:type="dxa"/>
          </w:tcPr>
          <w:p w14:paraId="00D23411" w14:textId="77777777" w:rsidR="003260D8" w:rsidRDefault="003260D8">
            <w:r w:rsidRPr="00D24D16">
              <w:rPr>
                <w:rFonts w:cs="Arial"/>
                <w:szCs w:val="24"/>
              </w:rPr>
              <w:t>No</w:t>
            </w:r>
          </w:p>
        </w:tc>
        <w:tc>
          <w:tcPr>
            <w:tcW w:w="1843" w:type="dxa"/>
            <w:shd w:val="clear" w:color="auto" w:fill="BFBFBF"/>
          </w:tcPr>
          <w:p w14:paraId="1B242A9F" w14:textId="77777777" w:rsidR="003260D8" w:rsidRPr="00AF5DD6" w:rsidRDefault="003260D8" w:rsidP="00644A98">
            <w:pPr>
              <w:rPr>
                <w:rFonts w:cs="Arial"/>
                <w:szCs w:val="24"/>
              </w:rPr>
            </w:pPr>
          </w:p>
        </w:tc>
      </w:tr>
      <w:tr w:rsidR="003260D8" w:rsidRPr="00AF5DD6" w14:paraId="4F95089C" w14:textId="77777777" w:rsidTr="003C05E8">
        <w:tc>
          <w:tcPr>
            <w:tcW w:w="3686" w:type="dxa"/>
          </w:tcPr>
          <w:p w14:paraId="3FB45954" w14:textId="77777777" w:rsidR="003260D8" w:rsidRPr="005C53BA" w:rsidRDefault="001C6821" w:rsidP="00644A98">
            <w:pPr>
              <w:rPr>
                <w:rFonts w:cs="Arial"/>
                <w:b/>
                <w:sz w:val="22"/>
                <w:szCs w:val="22"/>
              </w:rPr>
            </w:pPr>
            <w:r>
              <w:rPr>
                <w:rFonts w:cs="Arial"/>
                <w:b/>
                <w:sz w:val="22"/>
                <w:szCs w:val="22"/>
              </w:rPr>
              <w:t>Head of Service</w:t>
            </w:r>
            <w:r w:rsidR="003260D8">
              <w:rPr>
                <w:rFonts w:cs="Arial"/>
                <w:b/>
                <w:sz w:val="22"/>
                <w:szCs w:val="22"/>
              </w:rPr>
              <w:t xml:space="preserve"> – Band </w:t>
            </w:r>
            <w:proofErr w:type="gramStart"/>
            <w:r w:rsidR="003260D8">
              <w:rPr>
                <w:rFonts w:cs="Arial"/>
                <w:b/>
                <w:sz w:val="22"/>
                <w:szCs w:val="22"/>
              </w:rPr>
              <w:t>3</w:t>
            </w:r>
            <w:r w:rsidR="003260D8" w:rsidRPr="005C53BA">
              <w:rPr>
                <w:rFonts w:cs="Arial"/>
                <w:b/>
                <w:sz w:val="22"/>
                <w:szCs w:val="22"/>
              </w:rPr>
              <w:t>;</w:t>
            </w:r>
            <w:proofErr w:type="gramEnd"/>
          </w:p>
          <w:p w14:paraId="04D3C4D6" w14:textId="2DE9B05A" w:rsidR="00F17058" w:rsidRDefault="005918BD" w:rsidP="00D32888">
            <w:pPr>
              <w:numPr>
                <w:ilvl w:val="0"/>
                <w:numId w:val="18"/>
              </w:numPr>
              <w:rPr>
                <w:rFonts w:cs="Arial"/>
                <w:sz w:val="22"/>
                <w:szCs w:val="22"/>
              </w:rPr>
            </w:pPr>
            <w:r>
              <w:rPr>
                <w:rFonts w:cs="Arial"/>
                <w:sz w:val="22"/>
                <w:szCs w:val="22"/>
              </w:rPr>
              <w:t xml:space="preserve">HR, Performance and Service </w:t>
            </w:r>
            <w:proofErr w:type="gramStart"/>
            <w:r>
              <w:rPr>
                <w:rFonts w:cs="Arial"/>
                <w:sz w:val="22"/>
                <w:szCs w:val="22"/>
              </w:rPr>
              <w:t xml:space="preserve">Planning </w:t>
            </w:r>
            <w:r w:rsidR="00F17058" w:rsidRPr="00CD5CA0">
              <w:rPr>
                <w:rFonts w:cs="Arial"/>
                <w:sz w:val="22"/>
                <w:szCs w:val="22"/>
              </w:rPr>
              <w:t xml:space="preserve"> </w:t>
            </w:r>
            <w:r w:rsidR="00ED3CBC">
              <w:rPr>
                <w:rFonts w:cs="Arial"/>
                <w:sz w:val="22"/>
                <w:szCs w:val="22"/>
              </w:rPr>
              <w:t>(</w:t>
            </w:r>
            <w:proofErr w:type="gramEnd"/>
            <w:r w:rsidR="00ED3CBC">
              <w:rPr>
                <w:rFonts w:cs="Arial"/>
                <w:sz w:val="22"/>
                <w:szCs w:val="22"/>
              </w:rPr>
              <w:t>pro rata for 22.5 hours)</w:t>
            </w:r>
          </w:p>
          <w:p w14:paraId="4B32E6A3" w14:textId="77777777" w:rsidR="0071249D" w:rsidRPr="00B64751" w:rsidRDefault="0071249D" w:rsidP="005918BD">
            <w:pPr>
              <w:ind w:left="360"/>
              <w:rPr>
                <w:rFonts w:cs="Arial"/>
                <w:b/>
                <w:sz w:val="22"/>
                <w:szCs w:val="22"/>
              </w:rPr>
            </w:pPr>
          </w:p>
        </w:tc>
        <w:tc>
          <w:tcPr>
            <w:tcW w:w="1985" w:type="dxa"/>
          </w:tcPr>
          <w:p w14:paraId="7AC6CB16" w14:textId="1E558B85" w:rsidR="003260D8" w:rsidRDefault="003260D8" w:rsidP="00192D78">
            <w:pPr>
              <w:rPr>
                <w:rFonts w:cs="Arial"/>
                <w:sz w:val="20"/>
              </w:rPr>
            </w:pPr>
            <w:r>
              <w:rPr>
                <w:rFonts w:cs="Arial"/>
                <w:sz w:val="20"/>
              </w:rPr>
              <w:t>£</w:t>
            </w:r>
            <w:r w:rsidR="00DA0AED">
              <w:rPr>
                <w:rFonts w:cs="Arial"/>
                <w:sz w:val="20"/>
              </w:rPr>
              <w:t>6</w:t>
            </w:r>
            <w:r w:rsidR="007B0AD2">
              <w:rPr>
                <w:rFonts w:cs="Arial"/>
                <w:sz w:val="20"/>
              </w:rPr>
              <w:t>3,49</w:t>
            </w:r>
            <w:r w:rsidR="00DA0AED">
              <w:rPr>
                <w:rFonts w:cs="Arial"/>
                <w:sz w:val="20"/>
              </w:rPr>
              <w:t>1</w:t>
            </w:r>
            <w:r>
              <w:rPr>
                <w:rFonts w:cs="Arial"/>
                <w:sz w:val="20"/>
              </w:rPr>
              <w:t xml:space="preserve"> -</w:t>
            </w:r>
          </w:p>
          <w:p w14:paraId="3769FCF5" w14:textId="2CD95855" w:rsidR="003260D8" w:rsidRDefault="003260D8" w:rsidP="00192D78">
            <w:pPr>
              <w:rPr>
                <w:rFonts w:cs="Arial"/>
                <w:sz w:val="20"/>
              </w:rPr>
            </w:pPr>
            <w:r>
              <w:rPr>
                <w:rFonts w:cs="Arial"/>
                <w:sz w:val="20"/>
              </w:rPr>
              <w:t>£</w:t>
            </w:r>
            <w:r w:rsidR="004E2748">
              <w:rPr>
                <w:rFonts w:cs="Arial"/>
                <w:sz w:val="20"/>
              </w:rPr>
              <w:t>6</w:t>
            </w:r>
            <w:r w:rsidR="007B0AD2">
              <w:rPr>
                <w:rFonts w:cs="Arial"/>
                <w:sz w:val="20"/>
              </w:rPr>
              <w:t>5,692</w:t>
            </w:r>
            <w:r>
              <w:rPr>
                <w:rFonts w:cs="Arial"/>
                <w:sz w:val="20"/>
              </w:rPr>
              <w:t xml:space="preserve"> -</w:t>
            </w:r>
          </w:p>
          <w:p w14:paraId="781A277B" w14:textId="338879AB" w:rsidR="003260D8" w:rsidRPr="00F57172" w:rsidRDefault="003260D8" w:rsidP="00DA0AED">
            <w:pPr>
              <w:rPr>
                <w:rFonts w:cs="Arial"/>
                <w:sz w:val="20"/>
              </w:rPr>
            </w:pPr>
            <w:r>
              <w:rPr>
                <w:rFonts w:cs="Arial"/>
                <w:sz w:val="20"/>
              </w:rPr>
              <w:t>£</w:t>
            </w:r>
            <w:r w:rsidR="004F40AA">
              <w:rPr>
                <w:rFonts w:cs="Arial"/>
                <w:sz w:val="20"/>
              </w:rPr>
              <w:t>6</w:t>
            </w:r>
            <w:r w:rsidR="007B0AD2">
              <w:rPr>
                <w:rFonts w:cs="Arial"/>
                <w:sz w:val="20"/>
              </w:rPr>
              <w:t>7,882</w:t>
            </w:r>
          </w:p>
        </w:tc>
        <w:tc>
          <w:tcPr>
            <w:tcW w:w="1559" w:type="dxa"/>
          </w:tcPr>
          <w:p w14:paraId="1E6989C7" w14:textId="77777777" w:rsidR="003260D8" w:rsidRDefault="003260D8">
            <w:r w:rsidRPr="00D24D16">
              <w:rPr>
                <w:rFonts w:cs="Arial"/>
                <w:szCs w:val="24"/>
              </w:rPr>
              <w:t>No</w:t>
            </w:r>
          </w:p>
        </w:tc>
        <w:tc>
          <w:tcPr>
            <w:tcW w:w="1843" w:type="dxa"/>
            <w:shd w:val="clear" w:color="auto" w:fill="BFBFBF"/>
          </w:tcPr>
          <w:p w14:paraId="51D766F1" w14:textId="77777777" w:rsidR="003260D8" w:rsidRPr="00AF5DD6" w:rsidRDefault="003260D8" w:rsidP="00644A98">
            <w:pPr>
              <w:rPr>
                <w:rFonts w:cs="Arial"/>
                <w:szCs w:val="24"/>
              </w:rPr>
            </w:pPr>
          </w:p>
        </w:tc>
      </w:tr>
    </w:tbl>
    <w:p w14:paraId="23783971" w14:textId="77777777" w:rsidR="00644A98" w:rsidRPr="007F5B3F" w:rsidRDefault="00AD58BC" w:rsidP="00D32888">
      <w:pPr>
        <w:numPr>
          <w:ilvl w:val="0"/>
          <w:numId w:val="17"/>
        </w:numPr>
        <w:rPr>
          <w:rFonts w:cs="Arial"/>
          <w:sz w:val="20"/>
        </w:rPr>
      </w:pPr>
      <w:r w:rsidRPr="007F5B3F">
        <w:rPr>
          <w:rFonts w:cs="Arial"/>
          <w:sz w:val="20"/>
        </w:rPr>
        <w:t xml:space="preserve">As defined in </w:t>
      </w:r>
      <w:r w:rsidR="00A72FDC">
        <w:rPr>
          <w:rFonts w:cs="Arial"/>
          <w:sz w:val="20"/>
        </w:rPr>
        <w:t xml:space="preserve">Recommended Code of Practice for </w:t>
      </w:r>
      <w:r w:rsidRPr="007F5B3F">
        <w:rPr>
          <w:rFonts w:cs="Arial"/>
          <w:sz w:val="20"/>
        </w:rPr>
        <w:t>Data Transparency</w:t>
      </w:r>
    </w:p>
    <w:p w14:paraId="564065B0" w14:textId="177D3EE3" w:rsidR="002E610F" w:rsidRDefault="002E610F" w:rsidP="00D32888">
      <w:pPr>
        <w:numPr>
          <w:ilvl w:val="0"/>
          <w:numId w:val="17"/>
        </w:numPr>
        <w:rPr>
          <w:rFonts w:cs="Arial"/>
          <w:sz w:val="20"/>
        </w:rPr>
      </w:pPr>
      <w:r>
        <w:rPr>
          <w:rFonts w:cs="Arial"/>
          <w:sz w:val="20"/>
        </w:rPr>
        <w:t>Total current gross expenditure budget (20</w:t>
      </w:r>
      <w:r w:rsidR="00FE5D08">
        <w:rPr>
          <w:rFonts w:cs="Arial"/>
          <w:sz w:val="20"/>
        </w:rPr>
        <w:t>2</w:t>
      </w:r>
      <w:r w:rsidR="007B0AD2">
        <w:rPr>
          <w:rFonts w:cs="Arial"/>
          <w:sz w:val="20"/>
        </w:rPr>
        <w:t>3</w:t>
      </w:r>
      <w:r>
        <w:rPr>
          <w:rFonts w:cs="Arial"/>
          <w:sz w:val="20"/>
        </w:rPr>
        <w:t>/</w:t>
      </w:r>
      <w:r w:rsidR="00FE5D08">
        <w:rPr>
          <w:rFonts w:cs="Arial"/>
          <w:sz w:val="20"/>
        </w:rPr>
        <w:t>2</w:t>
      </w:r>
      <w:r w:rsidR="007B0AD2">
        <w:rPr>
          <w:rFonts w:cs="Arial"/>
          <w:sz w:val="20"/>
        </w:rPr>
        <w:t>4</w:t>
      </w:r>
      <w:r>
        <w:rPr>
          <w:rFonts w:cs="Arial"/>
          <w:sz w:val="20"/>
        </w:rPr>
        <w:t>); includes employee costs</w:t>
      </w:r>
      <w:r w:rsidR="00A95F0E">
        <w:rPr>
          <w:rFonts w:cs="Arial"/>
          <w:sz w:val="20"/>
        </w:rPr>
        <w:t xml:space="preserve">. </w:t>
      </w:r>
      <w:r w:rsidR="00021C22">
        <w:rPr>
          <w:rFonts w:cs="Arial"/>
          <w:sz w:val="20"/>
        </w:rPr>
        <w:t xml:space="preserve"> </w:t>
      </w:r>
    </w:p>
    <w:p w14:paraId="7F89EF45" w14:textId="77777777" w:rsidR="00DF103A" w:rsidRDefault="00644A98" w:rsidP="00644A98">
      <w:pPr>
        <w:ind w:left="360"/>
        <w:rPr>
          <w:rFonts w:cs="Arial"/>
          <w:szCs w:val="24"/>
        </w:rPr>
      </w:pPr>
      <w:r>
        <w:rPr>
          <w:rFonts w:cs="Arial"/>
          <w:szCs w:val="24"/>
        </w:rPr>
        <w:t xml:space="preserve">   </w:t>
      </w:r>
    </w:p>
    <w:p w14:paraId="69AD1E34" w14:textId="77777777" w:rsidR="009A4C79" w:rsidRPr="004A6204" w:rsidRDefault="003260D8" w:rsidP="0007286B">
      <w:pPr>
        <w:rPr>
          <w:rFonts w:cs="Arial"/>
          <w:szCs w:val="24"/>
        </w:rPr>
      </w:pPr>
      <w:r>
        <w:rPr>
          <w:rFonts w:cs="Arial"/>
          <w:szCs w:val="24"/>
        </w:rPr>
        <w:br w:type="page"/>
      </w:r>
    </w:p>
    <w:p w14:paraId="316C9FB6" w14:textId="77777777" w:rsidR="00DF103A" w:rsidRPr="00DF103A" w:rsidRDefault="00DF103A" w:rsidP="00D32888">
      <w:pPr>
        <w:numPr>
          <w:ilvl w:val="0"/>
          <w:numId w:val="5"/>
        </w:numPr>
        <w:rPr>
          <w:rFonts w:cs="Arial"/>
          <w:b/>
          <w:szCs w:val="24"/>
        </w:rPr>
      </w:pPr>
      <w:r w:rsidRPr="00DF103A">
        <w:rPr>
          <w:rFonts w:cs="Arial"/>
          <w:b/>
          <w:szCs w:val="24"/>
        </w:rPr>
        <w:t xml:space="preserve">Setting the </w:t>
      </w:r>
      <w:r w:rsidR="00A12001">
        <w:rPr>
          <w:rFonts w:cs="Arial"/>
          <w:b/>
          <w:szCs w:val="24"/>
        </w:rPr>
        <w:t>s</w:t>
      </w:r>
      <w:r w:rsidRPr="00DF103A">
        <w:rPr>
          <w:rFonts w:cs="Arial"/>
          <w:b/>
          <w:szCs w:val="24"/>
        </w:rPr>
        <w:t>cene</w:t>
      </w:r>
    </w:p>
    <w:p w14:paraId="2F37D565" w14:textId="77777777" w:rsidR="004323A4" w:rsidRDefault="004323A4" w:rsidP="00F30599">
      <w:pPr>
        <w:ind w:left="426"/>
        <w:rPr>
          <w:rFonts w:cs="Arial"/>
          <w:szCs w:val="24"/>
        </w:rPr>
      </w:pPr>
    </w:p>
    <w:p w14:paraId="0C025A16" w14:textId="77777777" w:rsidR="004323A4" w:rsidRPr="004323A4" w:rsidRDefault="00812883" w:rsidP="00F30599">
      <w:pPr>
        <w:ind w:left="426"/>
        <w:rPr>
          <w:rFonts w:cs="Arial"/>
          <w:b/>
          <w:szCs w:val="24"/>
        </w:rPr>
      </w:pPr>
      <w:r>
        <w:rPr>
          <w:rFonts w:cs="Arial"/>
          <w:b/>
          <w:szCs w:val="24"/>
        </w:rPr>
        <w:t xml:space="preserve">3.1 </w:t>
      </w:r>
      <w:r w:rsidR="00175585">
        <w:rPr>
          <w:rFonts w:cs="Arial"/>
          <w:b/>
          <w:szCs w:val="24"/>
        </w:rPr>
        <w:t xml:space="preserve">Pay Strategy </w:t>
      </w:r>
      <w:r w:rsidR="004A1632">
        <w:rPr>
          <w:rFonts w:cs="Arial"/>
          <w:b/>
          <w:szCs w:val="24"/>
        </w:rPr>
        <w:t xml:space="preserve"> </w:t>
      </w:r>
    </w:p>
    <w:p w14:paraId="5146C207" w14:textId="77777777" w:rsidR="00175585" w:rsidRDefault="00175585" w:rsidP="00812883">
      <w:pPr>
        <w:ind w:left="426"/>
        <w:jc w:val="both"/>
        <w:rPr>
          <w:rFonts w:cs="Arial"/>
          <w:szCs w:val="24"/>
        </w:rPr>
      </w:pPr>
      <w:r>
        <w:rPr>
          <w:rFonts w:cs="Arial"/>
          <w:szCs w:val="24"/>
        </w:rPr>
        <w:t xml:space="preserve">The Council’s Pay Strategy is shown at Appendix </w:t>
      </w:r>
      <w:proofErr w:type="spellStart"/>
      <w:r w:rsidR="00812883">
        <w:rPr>
          <w:rFonts w:cs="Arial"/>
          <w:szCs w:val="24"/>
        </w:rPr>
        <w:t>i</w:t>
      </w:r>
      <w:r>
        <w:rPr>
          <w:rFonts w:cs="Arial"/>
          <w:szCs w:val="24"/>
        </w:rPr>
        <w:t>A.</w:t>
      </w:r>
      <w:proofErr w:type="spellEnd"/>
      <w:r>
        <w:rPr>
          <w:rFonts w:cs="Arial"/>
          <w:szCs w:val="24"/>
        </w:rPr>
        <w:t xml:space="preserve"> This document encapsulates both strategic prin</w:t>
      </w:r>
      <w:r w:rsidR="00812883">
        <w:rPr>
          <w:rFonts w:cs="Arial"/>
          <w:szCs w:val="24"/>
        </w:rPr>
        <w:t>ciples and operational practices; it gives direction and intent and guidance for the practical application of these principles.</w:t>
      </w:r>
      <w:r>
        <w:rPr>
          <w:rFonts w:cs="Arial"/>
          <w:szCs w:val="24"/>
        </w:rPr>
        <w:t xml:space="preserve">   </w:t>
      </w:r>
    </w:p>
    <w:p w14:paraId="228E5DB0" w14:textId="77777777" w:rsidR="00812883" w:rsidRPr="00812883" w:rsidRDefault="00812883" w:rsidP="00812883">
      <w:pPr>
        <w:ind w:left="426"/>
        <w:jc w:val="both"/>
        <w:rPr>
          <w:rFonts w:cs="Arial"/>
          <w:b/>
          <w:szCs w:val="24"/>
        </w:rPr>
      </w:pPr>
    </w:p>
    <w:p w14:paraId="4AACE5EE" w14:textId="77777777" w:rsidR="00812883" w:rsidRPr="00812883" w:rsidRDefault="00812883" w:rsidP="00812883">
      <w:pPr>
        <w:ind w:left="426"/>
        <w:jc w:val="both"/>
        <w:rPr>
          <w:rFonts w:cs="Arial"/>
          <w:b/>
          <w:szCs w:val="24"/>
        </w:rPr>
      </w:pPr>
      <w:r w:rsidRPr="00812883">
        <w:rPr>
          <w:rFonts w:cs="Arial"/>
          <w:b/>
          <w:szCs w:val="24"/>
        </w:rPr>
        <w:t>3.2 Gender Pay Gap</w:t>
      </w:r>
    </w:p>
    <w:p w14:paraId="65FDAFC1" w14:textId="77777777" w:rsidR="00812883" w:rsidRPr="00D875C5" w:rsidRDefault="00812883" w:rsidP="00812883">
      <w:pPr>
        <w:ind w:left="426"/>
        <w:rPr>
          <w:snapToGrid w:val="0"/>
        </w:rPr>
      </w:pPr>
      <w:r w:rsidRPr="00D875C5">
        <w:rPr>
          <w:snapToGrid w:val="0"/>
        </w:rPr>
        <w:t>From 2017, any organisation that has 250 or more employees must publish and report specific figures about their gender pay gap.</w:t>
      </w:r>
    </w:p>
    <w:p w14:paraId="504C6637" w14:textId="77777777" w:rsidR="00812883" w:rsidRPr="00D875C5" w:rsidRDefault="00812883" w:rsidP="00812883">
      <w:pPr>
        <w:ind w:left="426"/>
        <w:rPr>
          <w:snapToGrid w:val="0"/>
        </w:rPr>
      </w:pPr>
    </w:p>
    <w:p w14:paraId="1DFA236D" w14:textId="77777777" w:rsidR="00812883" w:rsidRPr="00D875C5" w:rsidRDefault="00812883" w:rsidP="00812883">
      <w:pPr>
        <w:ind w:left="426"/>
        <w:rPr>
          <w:snapToGrid w:val="0"/>
        </w:rPr>
      </w:pPr>
      <w:r w:rsidRPr="00D875C5">
        <w:rPr>
          <w:snapToGrid w:val="0"/>
        </w:rPr>
        <w:t xml:space="preserve">The gender pay gap is the difference between the average earnings of men and women, expressed relative to men’s earnings. </w:t>
      </w:r>
    </w:p>
    <w:p w14:paraId="202DBF1A" w14:textId="77777777" w:rsidR="00812883" w:rsidRPr="00D875C5" w:rsidRDefault="00812883" w:rsidP="00812883">
      <w:pPr>
        <w:ind w:left="426"/>
        <w:rPr>
          <w:snapToGrid w:val="0"/>
        </w:rPr>
      </w:pPr>
    </w:p>
    <w:p w14:paraId="16090C42" w14:textId="77777777" w:rsidR="00812883" w:rsidRPr="00D875C5" w:rsidRDefault="00812883" w:rsidP="00812883">
      <w:pPr>
        <w:ind w:left="426"/>
        <w:rPr>
          <w:snapToGrid w:val="0"/>
        </w:rPr>
      </w:pPr>
      <w:r w:rsidRPr="00D875C5">
        <w:rPr>
          <w:snapToGrid w:val="0"/>
        </w:rPr>
        <w:t xml:space="preserve">The data to be collected, relevant </w:t>
      </w:r>
      <w:proofErr w:type="gramStart"/>
      <w:r w:rsidRPr="00D875C5">
        <w:rPr>
          <w:snapToGrid w:val="0"/>
        </w:rPr>
        <w:t>at</w:t>
      </w:r>
      <w:proofErr w:type="gramEnd"/>
      <w:r w:rsidRPr="00D875C5">
        <w:rPr>
          <w:snapToGrid w:val="0"/>
        </w:rPr>
        <w:t xml:space="preserve"> 31 March 2017 and </w:t>
      </w:r>
      <w:r>
        <w:rPr>
          <w:snapToGrid w:val="0"/>
        </w:rPr>
        <w:t xml:space="preserve">at that “snapshot date” </w:t>
      </w:r>
      <w:r w:rsidRPr="00D875C5">
        <w:rPr>
          <w:snapToGrid w:val="0"/>
        </w:rPr>
        <w:t>each year thereafter is the:</w:t>
      </w:r>
    </w:p>
    <w:p w14:paraId="74280236" w14:textId="77777777" w:rsidR="00812883" w:rsidRPr="00D875C5" w:rsidRDefault="00812883" w:rsidP="00812883">
      <w:pPr>
        <w:ind w:left="426"/>
        <w:rPr>
          <w:snapToGrid w:val="0"/>
        </w:rPr>
      </w:pPr>
      <w:r w:rsidRPr="00D875C5">
        <w:rPr>
          <w:snapToGrid w:val="0"/>
        </w:rPr>
        <w:t>- Mean gender pay gap</w:t>
      </w:r>
    </w:p>
    <w:p w14:paraId="3DE9C156" w14:textId="77777777" w:rsidR="00812883" w:rsidRPr="00D875C5" w:rsidRDefault="00812883" w:rsidP="00812883">
      <w:pPr>
        <w:ind w:left="426"/>
        <w:rPr>
          <w:snapToGrid w:val="0"/>
        </w:rPr>
      </w:pPr>
      <w:r w:rsidRPr="00D875C5">
        <w:rPr>
          <w:snapToGrid w:val="0"/>
        </w:rPr>
        <w:t>- Median gender pay gap</w:t>
      </w:r>
    </w:p>
    <w:p w14:paraId="4BAAD37D" w14:textId="77777777" w:rsidR="00812883" w:rsidRPr="00D875C5" w:rsidRDefault="00812883" w:rsidP="00812883">
      <w:pPr>
        <w:ind w:left="426"/>
        <w:rPr>
          <w:snapToGrid w:val="0"/>
        </w:rPr>
      </w:pPr>
      <w:r w:rsidRPr="00D875C5">
        <w:rPr>
          <w:snapToGrid w:val="0"/>
        </w:rPr>
        <w:t>- Mean gender pay gap in bonus pay</w:t>
      </w:r>
    </w:p>
    <w:p w14:paraId="738034AE" w14:textId="77777777" w:rsidR="00812883" w:rsidRPr="00D875C5" w:rsidRDefault="00812883" w:rsidP="00812883">
      <w:pPr>
        <w:ind w:left="426"/>
        <w:rPr>
          <w:snapToGrid w:val="0"/>
        </w:rPr>
      </w:pPr>
      <w:r w:rsidRPr="00D875C5">
        <w:rPr>
          <w:snapToGrid w:val="0"/>
        </w:rPr>
        <w:t>- Median gender pay gap in bonus pay</w:t>
      </w:r>
    </w:p>
    <w:p w14:paraId="1871E1FD" w14:textId="77777777" w:rsidR="00812883" w:rsidRPr="00D875C5" w:rsidRDefault="00812883" w:rsidP="00812883">
      <w:pPr>
        <w:ind w:left="426"/>
        <w:rPr>
          <w:snapToGrid w:val="0"/>
        </w:rPr>
      </w:pPr>
      <w:r w:rsidRPr="00D875C5">
        <w:rPr>
          <w:snapToGrid w:val="0"/>
        </w:rPr>
        <w:t>- Percentage of males and females in each of the four pay quartiles.</w:t>
      </w:r>
    </w:p>
    <w:p w14:paraId="63F7543D" w14:textId="77777777" w:rsidR="00812883" w:rsidRPr="00D875C5" w:rsidRDefault="00812883" w:rsidP="00812883">
      <w:pPr>
        <w:ind w:left="426"/>
        <w:rPr>
          <w:snapToGrid w:val="0"/>
        </w:rPr>
      </w:pPr>
    </w:p>
    <w:p w14:paraId="2267A43E" w14:textId="77777777" w:rsidR="00812883" w:rsidRPr="00D875C5" w:rsidRDefault="007C7B54" w:rsidP="00812883">
      <w:pPr>
        <w:ind w:left="426"/>
        <w:rPr>
          <w:snapToGrid w:val="0"/>
        </w:rPr>
      </w:pPr>
      <w:r>
        <w:rPr>
          <w:snapToGrid w:val="0"/>
        </w:rPr>
        <w:t>As required in law, both our</w:t>
      </w:r>
      <w:r w:rsidR="00812883" w:rsidRPr="00D875C5">
        <w:rPr>
          <w:snapToGrid w:val="0"/>
        </w:rPr>
        <w:t xml:space="preserve"> </w:t>
      </w:r>
      <w:hyperlink r:id="rId8" w:history="1">
        <w:r w:rsidR="00812883" w:rsidRPr="00D875C5">
          <w:rPr>
            <w:snapToGrid w:val="0"/>
          </w:rPr>
          <w:t>gender pay gap data and a written statement</w:t>
        </w:r>
      </w:hyperlink>
      <w:r w:rsidR="00812883" w:rsidRPr="00D875C5">
        <w:rPr>
          <w:snapToGrid w:val="0"/>
        </w:rPr>
        <w:t xml:space="preserve"> </w:t>
      </w:r>
      <w:r>
        <w:rPr>
          <w:snapToGrid w:val="0"/>
        </w:rPr>
        <w:t xml:space="preserve">to add context to the data are available </w:t>
      </w:r>
      <w:r w:rsidR="00812883" w:rsidRPr="00D875C5">
        <w:rPr>
          <w:snapToGrid w:val="0"/>
        </w:rPr>
        <w:t xml:space="preserve">on </w:t>
      </w:r>
      <w:r>
        <w:rPr>
          <w:snapToGrid w:val="0"/>
        </w:rPr>
        <w:t xml:space="preserve">our </w:t>
      </w:r>
      <w:r w:rsidR="00812883" w:rsidRPr="00D875C5">
        <w:rPr>
          <w:snapToGrid w:val="0"/>
        </w:rPr>
        <w:t>public-facing website</w:t>
      </w:r>
      <w:r w:rsidRPr="007C7B54">
        <w:t xml:space="preserve"> </w:t>
      </w:r>
      <w:hyperlink r:id="rId9" w:history="1">
        <w:r w:rsidRPr="00A2346F">
          <w:rPr>
            <w:rStyle w:val="Hyperlink"/>
            <w:snapToGrid w:val="0"/>
          </w:rPr>
          <w:t>http://www.gedling.gov.uk/council/aboutus/financeandaccounts/opendata/genderpaygapdata/</w:t>
        </w:r>
      </w:hyperlink>
      <w:r>
        <w:rPr>
          <w:snapToGrid w:val="0"/>
        </w:rPr>
        <w:t xml:space="preserve"> </w:t>
      </w:r>
      <w:r w:rsidR="00812883">
        <w:rPr>
          <w:snapToGrid w:val="0"/>
        </w:rPr>
        <w:t xml:space="preserve">and </w:t>
      </w:r>
      <w:r>
        <w:rPr>
          <w:snapToGrid w:val="0"/>
        </w:rPr>
        <w:t xml:space="preserve">on the </w:t>
      </w:r>
      <w:r w:rsidR="00812883" w:rsidRPr="00D875C5">
        <w:rPr>
          <w:snapToGrid w:val="0"/>
        </w:rPr>
        <w:t xml:space="preserve">government </w:t>
      </w:r>
      <w:r>
        <w:rPr>
          <w:snapToGrid w:val="0"/>
        </w:rPr>
        <w:t xml:space="preserve">website  </w:t>
      </w:r>
      <w:hyperlink r:id="rId10" w:history="1">
        <w:r w:rsidR="00AB2B1C" w:rsidRPr="001A7692">
          <w:rPr>
            <w:rStyle w:val="Hyperlink"/>
            <w:snapToGrid w:val="0"/>
          </w:rPr>
          <w:t>https://gender-pay-gap.service.gov.uk/</w:t>
        </w:r>
      </w:hyperlink>
      <w:r w:rsidR="00AB2B1C">
        <w:rPr>
          <w:snapToGrid w:val="0"/>
        </w:rPr>
        <w:t xml:space="preserve"> </w:t>
      </w:r>
    </w:p>
    <w:p w14:paraId="7D14B091" w14:textId="77777777" w:rsidR="00812883" w:rsidRPr="00D875C5" w:rsidRDefault="00812883" w:rsidP="00812883">
      <w:pPr>
        <w:ind w:left="426"/>
        <w:rPr>
          <w:snapToGrid w:val="0"/>
        </w:rPr>
      </w:pPr>
    </w:p>
    <w:p w14:paraId="1DC6A6E9" w14:textId="77777777" w:rsidR="00812883" w:rsidRDefault="00812883" w:rsidP="00812883">
      <w:pPr>
        <w:ind w:left="426"/>
        <w:jc w:val="both"/>
        <w:rPr>
          <w:rFonts w:cs="Arial"/>
          <w:szCs w:val="24"/>
        </w:rPr>
      </w:pPr>
      <w:r>
        <w:rPr>
          <w:snapToGrid w:val="0"/>
        </w:rPr>
        <w:t xml:space="preserve">This year’s data and the narrative endorsed by Senior Leadership Team for Gedling Borough Council </w:t>
      </w:r>
      <w:r w:rsidR="007C7B54">
        <w:rPr>
          <w:snapToGrid w:val="0"/>
        </w:rPr>
        <w:t xml:space="preserve">are shown at Appendix </w:t>
      </w:r>
      <w:proofErr w:type="spellStart"/>
      <w:r w:rsidR="007C7B54">
        <w:rPr>
          <w:snapToGrid w:val="0"/>
        </w:rPr>
        <w:t>iB</w:t>
      </w:r>
      <w:r>
        <w:rPr>
          <w:snapToGrid w:val="0"/>
        </w:rPr>
        <w:t>.</w:t>
      </w:r>
      <w:proofErr w:type="spellEnd"/>
      <w:r>
        <w:rPr>
          <w:snapToGrid w:val="0"/>
        </w:rPr>
        <w:t xml:space="preserve">  </w:t>
      </w:r>
    </w:p>
    <w:p w14:paraId="68FDF269" w14:textId="77777777" w:rsidR="00812883" w:rsidRPr="009E719E" w:rsidRDefault="00812883" w:rsidP="00F30599">
      <w:pPr>
        <w:ind w:left="426"/>
        <w:rPr>
          <w:rFonts w:cs="Arial"/>
          <w:color w:val="000000"/>
          <w:szCs w:val="24"/>
        </w:rPr>
      </w:pPr>
    </w:p>
    <w:p w14:paraId="7149A811" w14:textId="77777777" w:rsidR="00866965" w:rsidRPr="009E719E" w:rsidRDefault="004323A4" w:rsidP="004323A4">
      <w:pPr>
        <w:ind w:left="851" w:hanging="425"/>
        <w:rPr>
          <w:rFonts w:cs="Arial"/>
          <w:b/>
          <w:color w:val="000000"/>
          <w:szCs w:val="24"/>
        </w:rPr>
      </w:pPr>
      <w:r w:rsidRPr="009E719E">
        <w:rPr>
          <w:rFonts w:cs="Arial"/>
          <w:b/>
          <w:color w:val="000000"/>
          <w:szCs w:val="24"/>
        </w:rPr>
        <w:t xml:space="preserve">3.2 </w:t>
      </w:r>
      <w:r w:rsidR="00866965" w:rsidRPr="009E719E">
        <w:rPr>
          <w:rFonts w:cs="Arial"/>
          <w:b/>
          <w:color w:val="000000"/>
          <w:szCs w:val="24"/>
        </w:rPr>
        <w:t>Other relevant information</w:t>
      </w:r>
    </w:p>
    <w:p w14:paraId="31C19308" w14:textId="77777777" w:rsidR="00CE232E" w:rsidRPr="009E719E" w:rsidRDefault="00CE232E" w:rsidP="00866965">
      <w:pPr>
        <w:ind w:left="426"/>
        <w:rPr>
          <w:rFonts w:cs="Arial"/>
          <w:color w:val="000000"/>
          <w:szCs w:val="24"/>
        </w:rPr>
      </w:pPr>
      <w:r w:rsidRPr="009E719E">
        <w:rPr>
          <w:rFonts w:cs="Arial"/>
          <w:color w:val="000000"/>
          <w:szCs w:val="24"/>
        </w:rPr>
        <w:t xml:space="preserve">The following </w:t>
      </w:r>
      <w:r w:rsidR="004323A4" w:rsidRPr="009E719E">
        <w:rPr>
          <w:rFonts w:cs="Arial"/>
          <w:color w:val="000000"/>
          <w:szCs w:val="24"/>
        </w:rPr>
        <w:t xml:space="preserve">additional </w:t>
      </w:r>
      <w:r w:rsidRPr="009E719E">
        <w:rPr>
          <w:rFonts w:cs="Arial"/>
          <w:color w:val="000000"/>
          <w:szCs w:val="24"/>
        </w:rPr>
        <w:t>paragraphs</w:t>
      </w:r>
      <w:r w:rsidR="00022877" w:rsidRPr="009E719E">
        <w:rPr>
          <w:rFonts w:cs="Arial"/>
          <w:color w:val="000000"/>
          <w:szCs w:val="24"/>
        </w:rPr>
        <w:t xml:space="preserve"> and statements</w:t>
      </w:r>
      <w:r w:rsidRPr="009E719E">
        <w:rPr>
          <w:rFonts w:cs="Arial"/>
          <w:color w:val="000000"/>
          <w:szCs w:val="24"/>
        </w:rPr>
        <w:t xml:space="preserve"> outline the Council’s general position in respect to employment, pay and conditions of service</w:t>
      </w:r>
      <w:r w:rsidR="00C51E8C" w:rsidRPr="009E719E">
        <w:rPr>
          <w:rFonts w:cs="Arial"/>
          <w:color w:val="000000"/>
          <w:szCs w:val="24"/>
        </w:rPr>
        <w:t xml:space="preserve"> and are pertinent to the requirements of the Localism Act</w:t>
      </w:r>
      <w:r w:rsidRPr="009E719E">
        <w:rPr>
          <w:rFonts w:cs="Arial"/>
          <w:color w:val="000000"/>
          <w:szCs w:val="24"/>
        </w:rPr>
        <w:t>:</w:t>
      </w:r>
    </w:p>
    <w:p w14:paraId="6A326150" w14:textId="77777777" w:rsidR="00CE232E" w:rsidRDefault="00CE232E" w:rsidP="002D3990">
      <w:pPr>
        <w:ind w:left="993" w:hanging="567"/>
        <w:rPr>
          <w:rFonts w:cs="Arial"/>
          <w:szCs w:val="24"/>
        </w:rPr>
      </w:pPr>
    </w:p>
    <w:p w14:paraId="29CC17E0" w14:textId="77777777" w:rsidR="00866965" w:rsidRPr="00866965" w:rsidRDefault="00866965" w:rsidP="00D32888">
      <w:pPr>
        <w:pStyle w:val="ListParagraph"/>
        <w:numPr>
          <w:ilvl w:val="0"/>
          <w:numId w:val="15"/>
        </w:numPr>
        <w:spacing w:after="0" w:line="240" w:lineRule="auto"/>
        <w:rPr>
          <w:rFonts w:eastAsia="Times New Roman" w:cs="Arial"/>
          <w:vanish/>
          <w:szCs w:val="24"/>
        </w:rPr>
      </w:pPr>
    </w:p>
    <w:p w14:paraId="15BCAFBD" w14:textId="77777777" w:rsidR="00866965" w:rsidRPr="00866965" w:rsidRDefault="00866965" w:rsidP="00D32888">
      <w:pPr>
        <w:pStyle w:val="ListParagraph"/>
        <w:numPr>
          <w:ilvl w:val="0"/>
          <w:numId w:val="15"/>
        </w:numPr>
        <w:spacing w:after="0" w:line="240" w:lineRule="auto"/>
        <w:rPr>
          <w:rFonts w:eastAsia="Times New Roman" w:cs="Arial"/>
          <w:vanish/>
          <w:szCs w:val="24"/>
        </w:rPr>
      </w:pPr>
    </w:p>
    <w:p w14:paraId="02AEA474" w14:textId="77777777" w:rsidR="00866965" w:rsidRPr="00866965" w:rsidRDefault="00866965" w:rsidP="00D32888">
      <w:pPr>
        <w:pStyle w:val="ListParagraph"/>
        <w:numPr>
          <w:ilvl w:val="0"/>
          <w:numId w:val="15"/>
        </w:numPr>
        <w:spacing w:after="0" w:line="240" w:lineRule="auto"/>
        <w:rPr>
          <w:rFonts w:eastAsia="Times New Roman" w:cs="Arial"/>
          <w:vanish/>
          <w:szCs w:val="24"/>
        </w:rPr>
      </w:pPr>
    </w:p>
    <w:p w14:paraId="00E7B1DD" w14:textId="77777777" w:rsidR="00866965" w:rsidRPr="00866965" w:rsidRDefault="00866965" w:rsidP="00D32888">
      <w:pPr>
        <w:pStyle w:val="ListParagraph"/>
        <w:numPr>
          <w:ilvl w:val="1"/>
          <w:numId w:val="15"/>
        </w:numPr>
        <w:spacing w:after="0" w:line="240" w:lineRule="auto"/>
        <w:rPr>
          <w:rFonts w:eastAsia="Times New Roman" w:cs="Arial"/>
          <w:vanish/>
          <w:szCs w:val="24"/>
        </w:rPr>
      </w:pPr>
    </w:p>
    <w:p w14:paraId="539F15D9" w14:textId="77777777" w:rsidR="00866965" w:rsidRPr="00866965" w:rsidRDefault="00866965" w:rsidP="00D32888">
      <w:pPr>
        <w:pStyle w:val="ListParagraph"/>
        <w:numPr>
          <w:ilvl w:val="1"/>
          <w:numId w:val="15"/>
        </w:numPr>
        <w:spacing w:after="0" w:line="240" w:lineRule="auto"/>
        <w:rPr>
          <w:rFonts w:eastAsia="Times New Roman" w:cs="Arial"/>
          <w:vanish/>
          <w:szCs w:val="24"/>
        </w:rPr>
      </w:pPr>
    </w:p>
    <w:p w14:paraId="1915F6E7" w14:textId="6104EFDB" w:rsidR="00CE232E" w:rsidRDefault="00CE232E" w:rsidP="00D32888">
      <w:pPr>
        <w:numPr>
          <w:ilvl w:val="2"/>
          <w:numId w:val="15"/>
        </w:numPr>
        <w:ind w:left="1276" w:hanging="850"/>
        <w:rPr>
          <w:rFonts w:cs="Arial"/>
          <w:szCs w:val="24"/>
        </w:rPr>
      </w:pPr>
      <w:r>
        <w:rPr>
          <w:rFonts w:cs="Arial"/>
          <w:szCs w:val="24"/>
        </w:rPr>
        <w:t xml:space="preserve">As </w:t>
      </w:r>
      <w:proofErr w:type="gramStart"/>
      <w:r>
        <w:rPr>
          <w:rFonts w:cs="Arial"/>
          <w:szCs w:val="24"/>
        </w:rPr>
        <w:t>at</w:t>
      </w:r>
      <w:proofErr w:type="gramEnd"/>
      <w:r>
        <w:rPr>
          <w:rFonts w:cs="Arial"/>
          <w:szCs w:val="24"/>
        </w:rPr>
        <w:t xml:space="preserve"> </w:t>
      </w:r>
      <w:r w:rsidR="00690CC3">
        <w:rPr>
          <w:rFonts w:cs="Arial"/>
          <w:szCs w:val="24"/>
        </w:rPr>
        <w:t>November</w:t>
      </w:r>
      <w:r w:rsidR="006B6D20">
        <w:rPr>
          <w:rFonts w:cs="Arial"/>
          <w:szCs w:val="24"/>
        </w:rPr>
        <w:t xml:space="preserve"> </w:t>
      </w:r>
      <w:r>
        <w:rPr>
          <w:rFonts w:cs="Arial"/>
          <w:szCs w:val="24"/>
        </w:rPr>
        <w:t>20</w:t>
      </w:r>
      <w:r w:rsidR="0042290A">
        <w:rPr>
          <w:rFonts w:cs="Arial"/>
          <w:szCs w:val="24"/>
        </w:rPr>
        <w:t>2</w:t>
      </w:r>
      <w:r w:rsidR="00ED3CBC">
        <w:rPr>
          <w:rFonts w:cs="Arial"/>
          <w:szCs w:val="24"/>
        </w:rPr>
        <w:t>3</w:t>
      </w:r>
      <w:r>
        <w:rPr>
          <w:rFonts w:cs="Arial"/>
          <w:szCs w:val="24"/>
        </w:rPr>
        <w:t xml:space="preserve">, Gedling Borough Council employed </w:t>
      </w:r>
      <w:r w:rsidR="00282044">
        <w:rPr>
          <w:rFonts w:cs="Arial"/>
          <w:szCs w:val="24"/>
        </w:rPr>
        <w:t>4</w:t>
      </w:r>
      <w:r w:rsidR="00F01B65">
        <w:rPr>
          <w:rFonts w:cs="Arial"/>
          <w:szCs w:val="24"/>
        </w:rPr>
        <w:t>3</w:t>
      </w:r>
      <w:r w:rsidR="00ED3CBC">
        <w:rPr>
          <w:rFonts w:cs="Arial"/>
          <w:szCs w:val="24"/>
        </w:rPr>
        <w:t>8</w:t>
      </w:r>
      <w:r>
        <w:rPr>
          <w:rFonts w:cs="Arial"/>
          <w:szCs w:val="24"/>
        </w:rPr>
        <w:t xml:space="preserve"> people (</w:t>
      </w:r>
      <w:r w:rsidR="00911A21">
        <w:rPr>
          <w:rFonts w:cs="Arial"/>
          <w:szCs w:val="24"/>
        </w:rPr>
        <w:t>3</w:t>
      </w:r>
      <w:r w:rsidR="00F01B65">
        <w:rPr>
          <w:rFonts w:cs="Arial"/>
          <w:szCs w:val="24"/>
        </w:rPr>
        <w:t>3</w:t>
      </w:r>
      <w:r w:rsidR="00ED3CBC">
        <w:rPr>
          <w:rFonts w:cs="Arial"/>
          <w:szCs w:val="24"/>
        </w:rPr>
        <w:t>6.56</w:t>
      </w:r>
      <w:r w:rsidR="007A6187">
        <w:rPr>
          <w:rFonts w:cs="Arial"/>
          <w:szCs w:val="24"/>
        </w:rPr>
        <w:t xml:space="preserve"> </w:t>
      </w:r>
      <w:r>
        <w:rPr>
          <w:rFonts w:cs="Arial"/>
          <w:szCs w:val="24"/>
        </w:rPr>
        <w:t>full time equivalents).</w:t>
      </w:r>
    </w:p>
    <w:p w14:paraId="7AADB0D0" w14:textId="77777777" w:rsidR="00CE232E" w:rsidRDefault="00CE232E" w:rsidP="00866965">
      <w:pPr>
        <w:ind w:left="1134" w:hanging="708"/>
        <w:rPr>
          <w:rFonts w:cs="Arial"/>
          <w:szCs w:val="24"/>
        </w:rPr>
      </w:pPr>
    </w:p>
    <w:p w14:paraId="746524E7" w14:textId="77777777" w:rsidR="00EE4004" w:rsidRDefault="007A6187" w:rsidP="00D32888">
      <w:pPr>
        <w:numPr>
          <w:ilvl w:val="2"/>
          <w:numId w:val="15"/>
        </w:numPr>
        <w:ind w:left="1276" w:hanging="850"/>
        <w:rPr>
          <w:rFonts w:cs="Arial"/>
          <w:szCs w:val="24"/>
        </w:rPr>
      </w:pPr>
      <w:r>
        <w:rPr>
          <w:rFonts w:cs="Arial"/>
          <w:szCs w:val="24"/>
        </w:rPr>
        <w:t xml:space="preserve">Of our posts, </w:t>
      </w:r>
      <w:r w:rsidR="00D35BB7">
        <w:rPr>
          <w:rFonts w:cs="Arial"/>
          <w:szCs w:val="24"/>
        </w:rPr>
        <w:t>ten</w:t>
      </w:r>
      <w:r w:rsidR="00911A21">
        <w:rPr>
          <w:rFonts w:cs="Arial"/>
          <w:szCs w:val="24"/>
        </w:rPr>
        <w:t xml:space="preserve"> </w:t>
      </w:r>
      <w:r w:rsidR="00866965">
        <w:rPr>
          <w:rFonts w:cs="Arial"/>
          <w:szCs w:val="24"/>
        </w:rPr>
        <w:t>are governed by</w:t>
      </w:r>
      <w:r w:rsidR="00EE4004">
        <w:rPr>
          <w:rFonts w:cs="Arial"/>
          <w:szCs w:val="24"/>
        </w:rPr>
        <w:t xml:space="preserve"> the national conditions of service </w:t>
      </w:r>
      <w:r w:rsidR="00866965">
        <w:rPr>
          <w:rFonts w:cs="Arial"/>
          <w:szCs w:val="24"/>
        </w:rPr>
        <w:t>relating to</w:t>
      </w:r>
      <w:r w:rsidR="00EE4004">
        <w:rPr>
          <w:rFonts w:cs="Arial"/>
          <w:szCs w:val="24"/>
        </w:rPr>
        <w:t xml:space="preserve"> the Joint Negotiating Committees (JNC) for Chief Executives and </w:t>
      </w:r>
      <w:r w:rsidR="00222CE1">
        <w:rPr>
          <w:rFonts w:cs="Arial"/>
          <w:szCs w:val="24"/>
        </w:rPr>
        <w:t>Chief Officer</w:t>
      </w:r>
      <w:r w:rsidR="00EE4004">
        <w:rPr>
          <w:rFonts w:cs="Arial"/>
          <w:szCs w:val="24"/>
        </w:rPr>
        <w:t>s, these being the Chief Executive</w:t>
      </w:r>
      <w:r w:rsidR="00866965">
        <w:rPr>
          <w:rFonts w:cs="Arial"/>
          <w:szCs w:val="24"/>
        </w:rPr>
        <w:t xml:space="preserve">, two </w:t>
      </w:r>
      <w:r w:rsidR="00EE4004">
        <w:rPr>
          <w:rFonts w:cs="Arial"/>
          <w:szCs w:val="24"/>
        </w:rPr>
        <w:t>Director</w:t>
      </w:r>
      <w:r w:rsidR="00866965">
        <w:rPr>
          <w:rFonts w:cs="Arial"/>
          <w:szCs w:val="24"/>
        </w:rPr>
        <w:t xml:space="preserve">s and </w:t>
      </w:r>
      <w:r w:rsidR="001C6821">
        <w:rPr>
          <w:rFonts w:cs="Arial"/>
          <w:szCs w:val="24"/>
        </w:rPr>
        <w:t>seven</w:t>
      </w:r>
      <w:r w:rsidR="00D35BB7">
        <w:rPr>
          <w:rFonts w:cs="Arial"/>
          <w:szCs w:val="24"/>
        </w:rPr>
        <w:t xml:space="preserve"> (6.6 FTE) Heads of Service</w:t>
      </w:r>
      <w:r w:rsidR="00EE4004">
        <w:rPr>
          <w:rFonts w:cs="Arial"/>
          <w:szCs w:val="24"/>
        </w:rPr>
        <w:t>.</w:t>
      </w:r>
      <w:r w:rsidR="00E97CC2">
        <w:rPr>
          <w:rFonts w:cs="Arial"/>
          <w:szCs w:val="24"/>
        </w:rPr>
        <w:t xml:space="preserve"> </w:t>
      </w:r>
      <w:r w:rsidR="00EE4004">
        <w:rPr>
          <w:rFonts w:cs="Arial"/>
          <w:szCs w:val="24"/>
        </w:rPr>
        <w:t xml:space="preserve">  All other employees</w:t>
      </w:r>
      <w:r w:rsidR="00E97CC2">
        <w:rPr>
          <w:rFonts w:cs="Arial"/>
          <w:szCs w:val="24"/>
        </w:rPr>
        <w:t xml:space="preserve"> </w:t>
      </w:r>
      <w:r w:rsidR="00EE4004">
        <w:rPr>
          <w:rFonts w:cs="Arial"/>
          <w:szCs w:val="24"/>
        </w:rPr>
        <w:t xml:space="preserve">work within the national conditions of service covered by the </w:t>
      </w:r>
      <w:r w:rsidR="00FA5D37">
        <w:rPr>
          <w:rFonts w:cs="Arial"/>
          <w:szCs w:val="24"/>
        </w:rPr>
        <w:t xml:space="preserve">National </w:t>
      </w:r>
      <w:r w:rsidR="00EE4004">
        <w:rPr>
          <w:rFonts w:cs="Arial"/>
          <w:szCs w:val="24"/>
        </w:rPr>
        <w:t>Joint Council (NJC) for Local Government Employees.</w:t>
      </w:r>
    </w:p>
    <w:p w14:paraId="6745B02C" w14:textId="77777777" w:rsidR="00EE4004" w:rsidRDefault="00EE4004" w:rsidP="00540ECE">
      <w:pPr>
        <w:ind w:left="1276" w:hanging="850"/>
        <w:rPr>
          <w:rFonts w:cs="Arial"/>
          <w:szCs w:val="24"/>
        </w:rPr>
      </w:pPr>
    </w:p>
    <w:p w14:paraId="7784645E" w14:textId="77777777" w:rsidR="00EE4004" w:rsidRDefault="00EE4004" w:rsidP="00D32888">
      <w:pPr>
        <w:numPr>
          <w:ilvl w:val="2"/>
          <w:numId w:val="15"/>
        </w:numPr>
        <w:ind w:left="1276" w:hanging="850"/>
        <w:rPr>
          <w:rFonts w:cs="Arial"/>
          <w:szCs w:val="24"/>
        </w:rPr>
      </w:pPr>
      <w:r>
        <w:rPr>
          <w:rFonts w:cs="Arial"/>
          <w:szCs w:val="24"/>
        </w:rPr>
        <w:t xml:space="preserve">These national conditions of service are added to, and amended by, local terms and conditions detailed in the Employee Handbook and further modified at an individual level by Statements of Employment (contracts) applying to </w:t>
      </w:r>
      <w:proofErr w:type="gramStart"/>
      <w:r>
        <w:rPr>
          <w:rFonts w:cs="Arial"/>
          <w:szCs w:val="24"/>
        </w:rPr>
        <w:t>particular employees</w:t>
      </w:r>
      <w:proofErr w:type="gramEnd"/>
      <w:r>
        <w:rPr>
          <w:rFonts w:cs="Arial"/>
          <w:szCs w:val="24"/>
        </w:rPr>
        <w:t xml:space="preserve"> or posts.</w:t>
      </w:r>
    </w:p>
    <w:p w14:paraId="2D0B68EE" w14:textId="77777777" w:rsidR="00172B3A" w:rsidRDefault="00172B3A" w:rsidP="00540ECE">
      <w:pPr>
        <w:ind w:left="1276" w:hanging="850"/>
        <w:rPr>
          <w:rFonts w:cs="Arial"/>
          <w:szCs w:val="24"/>
        </w:rPr>
      </w:pPr>
    </w:p>
    <w:p w14:paraId="29C532D3" w14:textId="77777777" w:rsidR="0026190E" w:rsidRDefault="0026190E" w:rsidP="00540ECE">
      <w:pPr>
        <w:ind w:left="1276" w:hanging="850"/>
        <w:rPr>
          <w:rFonts w:cs="Arial"/>
          <w:szCs w:val="24"/>
        </w:rPr>
      </w:pPr>
    </w:p>
    <w:p w14:paraId="0D3BA39E" w14:textId="77777777" w:rsidR="0026190E" w:rsidRDefault="0026190E" w:rsidP="00540ECE">
      <w:pPr>
        <w:ind w:left="1276" w:hanging="850"/>
        <w:rPr>
          <w:rFonts w:cs="Arial"/>
          <w:szCs w:val="24"/>
        </w:rPr>
      </w:pPr>
    </w:p>
    <w:p w14:paraId="4400AB81" w14:textId="77777777" w:rsidR="0026190E" w:rsidRDefault="0026190E" w:rsidP="00540ECE">
      <w:pPr>
        <w:ind w:left="1276" w:hanging="850"/>
        <w:rPr>
          <w:rFonts w:cs="Arial"/>
          <w:szCs w:val="24"/>
        </w:rPr>
      </w:pPr>
    </w:p>
    <w:p w14:paraId="68C05C29" w14:textId="77777777" w:rsidR="00172B3A" w:rsidRDefault="00172B3A" w:rsidP="00D32888">
      <w:pPr>
        <w:numPr>
          <w:ilvl w:val="2"/>
          <w:numId w:val="15"/>
        </w:numPr>
        <w:ind w:left="1276" w:hanging="850"/>
        <w:rPr>
          <w:rFonts w:cs="Arial"/>
          <w:szCs w:val="24"/>
        </w:rPr>
      </w:pPr>
      <w:r>
        <w:rPr>
          <w:rFonts w:cs="Arial"/>
          <w:szCs w:val="24"/>
        </w:rPr>
        <w:t xml:space="preserve">For the purposes of the Localism Act, report must be made on the pay policies relating specifically to “Chief Officers”.  In the Act, included in the definition of what is a “Chief Officer” are any posts, statutory or not statutory, that report direct to the Chief Executive, or to a post that reports immediately to the Chief </w:t>
      </w:r>
      <w:r w:rsidR="00671CD6">
        <w:rPr>
          <w:rFonts w:cs="Arial"/>
          <w:szCs w:val="24"/>
        </w:rPr>
        <w:t>Officer</w:t>
      </w:r>
      <w:r>
        <w:rPr>
          <w:rFonts w:cs="Arial"/>
          <w:szCs w:val="24"/>
        </w:rPr>
        <w:t xml:space="preserve">.  The purpose is to ensure that “Deputy Chief Officer” posts are included in the pay policy.  Locally, for Gedling Borough Council this means that the Chief Executive, </w:t>
      </w:r>
      <w:proofErr w:type="gramStart"/>
      <w:r>
        <w:rPr>
          <w:rFonts w:cs="Arial"/>
          <w:szCs w:val="24"/>
        </w:rPr>
        <w:t>Directors</w:t>
      </w:r>
      <w:proofErr w:type="gramEnd"/>
      <w:r>
        <w:rPr>
          <w:rFonts w:cs="Arial"/>
          <w:szCs w:val="24"/>
        </w:rPr>
        <w:t xml:space="preserve"> and </w:t>
      </w:r>
      <w:r w:rsidR="001C6821">
        <w:rPr>
          <w:rFonts w:cs="Arial"/>
          <w:szCs w:val="24"/>
        </w:rPr>
        <w:t>Heads of Service</w:t>
      </w:r>
      <w:r>
        <w:rPr>
          <w:rFonts w:cs="Arial"/>
          <w:szCs w:val="24"/>
        </w:rPr>
        <w:t xml:space="preserve"> </w:t>
      </w:r>
      <w:r w:rsidR="00525E1F">
        <w:rPr>
          <w:rFonts w:cs="Arial"/>
          <w:szCs w:val="24"/>
        </w:rPr>
        <w:t>are</w:t>
      </w:r>
      <w:r>
        <w:rPr>
          <w:rFonts w:cs="Arial"/>
          <w:szCs w:val="24"/>
        </w:rPr>
        <w:t xml:space="preserve"> covered in the Pay Policy Statement. </w:t>
      </w:r>
    </w:p>
    <w:p w14:paraId="369C8B1A" w14:textId="77777777" w:rsidR="00172B3A" w:rsidRDefault="00172B3A" w:rsidP="00540ECE">
      <w:pPr>
        <w:ind w:left="1276" w:hanging="850"/>
        <w:rPr>
          <w:rFonts w:cs="Arial"/>
          <w:szCs w:val="24"/>
        </w:rPr>
      </w:pPr>
    </w:p>
    <w:p w14:paraId="2E91481A" w14:textId="77777777" w:rsidR="00522C4C" w:rsidRDefault="00522C4C" w:rsidP="00D32888">
      <w:pPr>
        <w:numPr>
          <w:ilvl w:val="2"/>
          <w:numId w:val="15"/>
        </w:numPr>
        <w:ind w:left="1276" w:hanging="850"/>
        <w:rPr>
          <w:rFonts w:cs="Arial"/>
          <w:szCs w:val="24"/>
        </w:rPr>
      </w:pPr>
      <w:r>
        <w:rPr>
          <w:rFonts w:cs="Arial"/>
          <w:szCs w:val="24"/>
        </w:rPr>
        <w:t xml:space="preserve">Policies relating to the setting of pay are determined by committee.  Currently such decisions </w:t>
      </w:r>
      <w:r w:rsidR="00FA5F41">
        <w:rPr>
          <w:rFonts w:cs="Arial"/>
          <w:szCs w:val="24"/>
        </w:rPr>
        <w:t>fall</w:t>
      </w:r>
      <w:r>
        <w:rPr>
          <w:rFonts w:cs="Arial"/>
          <w:szCs w:val="24"/>
        </w:rPr>
        <w:t xml:space="preserve"> under the remit of the Appointments and Conditions of Service Committee</w:t>
      </w:r>
      <w:r w:rsidR="001F5D9D">
        <w:rPr>
          <w:rFonts w:cs="Arial"/>
          <w:szCs w:val="24"/>
        </w:rPr>
        <w:t xml:space="preserve"> (ACSC)</w:t>
      </w:r>
      <w:r>
        <w:rPr>
          <w:rFonts w:cs="Arial"/>
          <w:szCs w:val="24"/>
        </w:rPr>
        <w:t xml:space="preserve">.  Historically, all </w:t>
      </w:r>
      <w:r w:rsidR="00A25AF3">
        <w:rPr>
          <w:rFonts w:cs="Arial"/>
          <w:szCs w:val="24"/>
        </w:rPr>
        <w:t xml:space="preserve">major </w:t>
      </w:r>
      <w:r>
        <w:rPr>
          <w:rFonts w:cs="Arial"/>
          <w:szCs w:val="24"/>
        </w:rPr>
        <w:t xml:space="preserve">decisions relating to pay policies have been the subject of consultation with the recognised unions representing employees of the Council, either direct with the unions, or more usually through discussion at the Joint Consultative and Safety Committee </w:t>
      </w:r>
      <w:r w:rsidR="001F5D9D">
        <w:rPr>
          <w:rFonts w:cs="Arial"/>
          <w:szCs w:val="24"/>
        </w:rPr>
        <w:t xml:space="preserve">(JCSC) </w:t>
      </w:r>
      <w:r>
        <w:rPr>
          <w:rFonts w:cs="Arial"/>
          <w:szCs w:val="24"/>
        </w:rPr>
        <w:t xml:space="preserve">which is the recognised forum for formal consultation between employee representatives and the employer. </w:t>
      </w:r>
    </w:p>
    <w:p w14:paraId="1687D741" w14:textId="77777777" w:rsidR="00522C4C" w:rsidRDefault="00522C4C" w:rsidP="00540ECE">
      <w:pPr>
        <w:ind w:left="1276" w:hanging="850"/>
        <w:rPr>
          <w:rFonts w:cs="Arial"/>
          <w:szCs w:val="24"/>
        </w:rPr>
      </w:pPr>
    </w:p>
    <w:p w14:paraId="745988DD" w14:textId="77777777" w:rsidR="00522C4C" w:rsidRDefault="00522C4C" w:rsidP="00D32888">
      <w:pPr>
        <w:numPr>
          <w:ilvl w:val="2"/>
          <w:numId w:val="15"/>
        </w:numPr>
        <w:ind w:left="1276" w:hanging="850"/>
        <w:rPr>
          <w:rFonts w:cs="Arial"/>
          <w:szCs w:val="24"/>
        </w:rPr>
      </w:pPr>
      <w:r>
        <w:rPr>
          <w:rFonts w:cs="Arial"/>
          <w:szCs w:val="24"/>
        </w:rPr>
        <w:t xml:space="preserve">The Council has embraced the principles of Single Status (a term designed by national employers’ groups and trade unions to describe the equal treatment, in respect to terms and conditions, of all employees) since 2001.  </w:t>
      </w:r>
      <w:r w:rsidR="00FA5F41">
        <w:rPr>
          <w:rFonts w:cs="Arial"/>
          <w:szCs w:val="24"/>
        </w:rPr>
        <w:t xml:space="preserve">Gedling </w:t>
      </w:r>
      <w:r>
        <w:rPr>
          <w:rFonts w:cs="Arial"/>
          <w:szCs w:val="24"/>
        </w:rPr>
        <w:t>was one of the first local authorities in the region to formally implement the national NJC Job Evaluation Scheme</w:t>
      </w:r>
      <w:r w:rsidR="006A2FEA">
        <w:rPr>
          <w:rFonts w:cs="Arial"/>
          <w:szCs w:val="24"/>
        </w:rPr>
        <w:t xml:space="preserve">.  </w:t>
      </w:r>
      <w:r w:rsidR="00A25AF3">
        <w:rPr>
          <w:rFonts w:cs="Arial"/>
          <w:szCs w:val="24"/>
        </w:rPr>
        <w:t>A p</w:t>
      </w:r>
      <w:r w:rsidR="006A2FEA">
        <w:rPr>
          <w:rFonts w:cs="Arial"/>
          <w:szCs w:val="24"/>
        </w:rPr>
        <w:t>ay polic</w:t>
      </w:r>
      <w:r w:rsidR="003F2B15">
        <w:rPr>
          <w:rFonts w:cs="Arial"/>
          <w:szCs w:val="24"/>
        </w:rPr>
        <w:t>y</w:t>
      </w:r>
      <w:r w:rsidR="006A2FEA">
        <w:rPr>
          <w:rFonts w:cs="Arial"/>
          <w:szCs w:val="24"/>
        </w:rPr>
        <w:t xml:space="preserve"> w</w:t>
      </w:r>
      <w:r w:rsidR="003F2B15">
        <w:rPr>
          <w:rFonts w:cs="Arial"/>
          <w:szCs w:val="24"/>
        </w:rPr>
        <w:t>as</w:t>
      </w:r>
      <w:r w:rsidR="006A2FEA">
        <w:rPr>
          <w:rFonts w:cs="Arial"/>
          <w:szCs w:val="24"/>
        </w:rPr>
        <w:t xml:space="preserve"> written at this time to reflect how NJC pay was to be applied within this scheme </w:t>
      </w:r>
      <w:r w:rsidR="003F2B15">
        <w:rPr>
          <w:rFonts w:cs="Arial"/>
          <w:szCs w:val="24"/>
        </w:rPr>
        <w:t xml:space="preserve">and this is shown at </w:t>
      </w:r>
      <w:r w:rsidR="006A2FEA">
        <w:rPr>
          <w:rFonts w:cs="Arial"/>
          <w:szCs w:val="24"/>
        </w:rPr>
        <w:t xml:space="preserve">Appendix </w:t>
      </w:r>
      <w:proofErr w:type="spellStart"/>
      <w:r w:rsidR="006A2FEA">
        <w:rPr>
          <w:rFonts w:cs="Arial"/>
          <w:szCs w:val="24"/>
        </w:rPr>
        <w:t>i</w:t>
      </w:r>
      <w:proofErr w:type="spellEnd"/>
      <w:r w:rsidR="006A2FEA">
        <w:rPr>
          <w:rFonts w:cs="Arial"/>
          <w:szCs w:val="24"/>
        </w:rPr>
        <w:t>.  The NJC Job Evaluation Scheme continues to be used and pay grades are established using this tool for all NJC posts</w:t>
      </w:r>
      <w:r w:rsidR="00525E1F">
        <w:rPr>
          <w:rFonts w:cs="Arial"/>
          <w:szCs w:val="24"/>
        </w:rPr>
        <w:t xml:space="preserve">. </w:t>
      </w:r>
      <w:r w:rsidR="006A2FEA">
        <w:rPr>
          <w:rFonts w:cs="Arial"/>
          <w:szCs w:val="24"/>
        </w:rPr>
        <w:t>Job assessment is carried out jointly by both management and union representatives.</w:t>
      </w:r>
    </w:p>
    <w:p w14:paraId="29E48597" w14:textId="77777777" w:rsidR="00525E1F" w:rsidRDefault="00525E1F" w:rsidP="00540ECE">
      <w:pPr>
        <w:ind w:left="1276" w:hanging="850"/>
        <w:rPr>
          <w:rFonts w:cs="Arial"/>
          <w:szCs w:val="24"/>
        </w:rPr>
      </w:pPr>
      <w:r>
        <w:rPr>
          <w:rFonts w:cs="Arial"/>
          <w:szCs w:val="24"/>
        </w:rPr>
        <w:t xml:space="preserve"> </w:t>
      </w:r>
    </w:p>
    <w:p w14:paraId="3EE5BCB6" w14:textId="77777777" w:rsidR="00525E1F" w:rsidRDefault="00525E1F" w:rsidP="00D32888">
      <w:pPr>
        <w:numPr>
          <w:ilvl w:val="2"/>
          <w:numId w:val="15"/>
        </w:numPr>
        <w:ind w:left="1276" w:hanging="850"/>
        <w:rPr>
          <w:rFonts w:cs="Arial"/>
          <w:szCs w:val="24"/>
        </w:rPr>
      </w:pPr>
      <w:r>
        <w:rPr>
          <w:rFonts w:cs="Arial"/>
          <w:szCs w:val="24"/>
        </w:rPr>
        <w:t xml:space="preserve">The grading of </w:t>
      </w:r>
      <w:r w:rsidR="002C4201">
        <w:rPr>
          <w:rFonts w:cs="Arial"/>
          <w:szCs w:val="24"/>
        </w:rPr>
        <w:t xml:space="preserve">JNC </w:t>
      </w:r>
      <w:r w:rsidR="00EA654F">
        <w:rPr>
          <w:rFonts w:cs="Arial"/>
          <w:szCs w:val="24"/>
        </w:rPr>
        <w:t>Head of Service</w:t>
      </w:r>
      <w:r>
        <w:rPr>
          <w:rFonts w:cs="Arial"/>
          <w:szCs w:val="24"/>
        </w:rPr>
        <w:t xml:space="preserve"> posts is undertaken by Senior Leadership Team and is based on a </w:t>
      </w:r>
      <w:proofErr w:type="gramStart"/>
      <w:r>
        <w:rPr>
          <w:rFonts w:cs="Arial"/>
          <w:szCs w:val="24"/>
        </w:rPr>
        <w:t>locally</w:t>
      </w:r>
      <w:r w:rsidR="007A6187">
        <w:rPr>
          <w:rFonts w:cs="Arial"/>
          <w:szCs w:val="24"/>
        </w:rPr>
        <w:t>-</w:t>
      </w:r>
      <w:r>
        <w:rPr>
          <w:rFonts w:cs="Arial"/>
          <w:szCs w:val="24"/>
        </w:rPr>
        <w:t>determined</w:t>
      </w:r>
      <w:proofErr w:type="gramEnd"/>
      <w:r>
        <w:rPr>
          <w:rFonts w:cs="Arial"/>
          <w:szCs w:val="24"/>
        </w:rPr>
        <w:t xml:space="preserve"> scoring matrix.  This matrix and the scoring system used to determine grades are shown at Appendix ii. </w:t>
      </w:r>
      <w:r w:rsidR="002C4201">
        <w:rPr>
          <w:rFonts w:cs="Arial"/>
          <w:szCs w:val="24"/>
        </w:rPr>
        <w:t>Pay grades for Directors and the Chief Executive are determined by Committee (ACSC).</w:t>
      </w:r>
    </w:p>
    <w:p w14:paraId="0E855734" w14:textId="77777777" w:rsidR="006A2FEA" w:rsidRDefault="006A2FEA" w:rsidP="00540ECE">
      <w:pPr>
        <w:ind w:left="1276" w:hanging="850"/>
        <w:rPr>
          <w:rFonts w:cs="Arial"/>
          <w:szCs w:val="24"/>
        </w:rPr>
      </w:pPr>
    </w:p>
    <w:p w14:paraId="2C6F2B80" w14:textId="77777777" w:rsidR="00911A21" w:rsidRDefault="006A2FEA" w:rsidP="00D32888">
      <w:pPr>
        <w:numPr>
          <w:ilvl w:val="2"/>
          <w:numId w:val="15"/>
        </w:numPr>
        <w:ind w:left="1276" w:hanging="850"/>
        <w:rPr>
          <w:rFonts w:cs="Arial"/>
          <w:szCs w:val="24"/>
        </w:rPr>
      </w:pPr>
      <w:r>
        <w:rPr>
          <w:rFonts w:cs="Arial"/>
          <w:szCs w:val="24"/>
        </w:rPr>
        <w:t>The filling of, or promotion to all posts, be they governed by NJC or JNC conditions of service are dealt with under the same defined protocols.  The general protocol for the filling of vacancies is shown at Appendix i</w:t>
      </w:r>
      <w:r w:rsidR="00525E1F">
        <w:rPr>
          <w:rFonts w:cs="Arial"/>
          <w:szCs w:val="24"/>
        </w:rPr>
        <w:t>i</w:t>
      </w:r>
      <w:r>
        <w:rPr>
          <w:rFonts w:cs="Arial"/>
          <w:szCs w:val="24"/>
        </w:rPr>
        <w:t xml:space="preserve">i </w:t>
      </w:r>
      <w:r w:rsidR="00911A21">
        <w:rPr>
          <w:rFonts w:cs="Arial"/>
          <w:szCs w:val="24"/>
        </w:rPr>
        <w:t xml:space="preserve">with a description of how this protocol is applied in a practical context shown at </w:t>
      </w:r>
      <w:r w:rsidR="003F2B15">
        <w:rPr>
          <w:rFonts w:cs="Arial"/>
          <w:szCs w:val="24"/>
        </w:rPr>
        <w:t>Appendix i</w:t>
      </w:r>
      <w:r w:rsidR="00525E1F">
        <w:rPr>
          <w:rFonts w:cs="Arial"/>
          <w:szCs w:val="24"/>
        </w:rPr>
        <w:t>v</w:t>
      </w:r>
      <w:r w:rsidR="00911A21">
        <w:rPr>
          <w:rFonts w:cs="Arial"/>
          <w:szCs w:val="24"/>
        </w:rPr>
        <w:t xml:space="preserve">. </w:t>
      </w:r>
    </w:p>
    <w:p w14:paraId="3FE49D86" w14:textId="77777777" w:rsidR="00F82C04" w:rsidRDefault="00F82C04" w:rsidP="00540ECE">
      <w:pPr>
        <w:ind w:left="1276" w:hanging="850"/>
        <w:rPr>
          <w:rFonts w:cs="Arial"/>
          <w:szCs w:val="24"/>
        </w:rPr>
      </w:pPr>
    </w:p>
    <w:p w14:paraId="407BF738" w14:textId="77777777" w:rsidR="004D4FD2" w:rsidRDefault="00CE232E" w:rsidP="00D32888">
      <w:pPr>
        <w:numPr>
          <w:ilvl w:val="2"/>
          <w:numId w:val="15"/>
        </w:numPr>
        <w:ind w:left="1276" w:hanging="850"/>
        <w:rPr>
          <w:rFonts w:cs="Arial"/>
          <w:szCs w:val="24"/>
        </w:rPr>
      </w:pPr>
      <w:r>
        <w:rPr>
          <w:rFonts w:cs="Arial"/>
          <w:szCs w:val="24"/>
        </w:rPr>
        <w:t xml:space="preserve">Other than in cases where there is a need to prevent redundancy through possible redeployment of existing employees, </w:t>
      </w:r>
      <w:r w:rsidR="00FA5F41">
        <w:rPr>
          <w:rFonts w:cs="Arial"/>
          <w:szCs w:val="24"/>
        </w:rPr>
        <w:t xml:space="preserve">or where efficiencies </w:t>
      </w:r>
      <w:r w:rsidR="00911A21">
        <w:rPr>
          <w:rFonts w:cs="Arial"/>
          <w:szCs w:val="24"/>
        </w:rPr>
        <w:t xml:space="preserve">or improved working </w:t>
      </w:r>
      <w:r w:rsidR="00FA5F41">
        <w:rPr>
          <w:rFonts w:cs="Arial"/>
          <w:szCs w:val="24"/>
        </w:rPr>
        <w:t xml:space="preserve">can potentially be realised, </w:t>
      </w:r>
      <w:r>
        <w:rPr>
          <w:rFonts w:cs="Arial"/>
          <w:szCs w:val="24"/>
        </w:rPr>
        <w:t xml:space="preserve">all permanent vacancies are advertised </w:t>
      </w:r>
      <w:proofErr w:type="gramStart"/>
      <w:r>
        <w:rPr>
          <w:rFonts w:cs="Arial"/>
          <w:szCs w:val="24"/>
        </w:rPr>
        <w:t>externally</w:t>
      </w:r>
      <w:proofErr w:type="gramEnd"/>
      <w:r>
        <w:rPr>
          <w:rFonts w:cs="Arial"/>
          <w:szCs w:val="24"/>
        </w:rPr>
        <w:t xml:space="preserve"> and all appointments are made on merit as required by </w:t>
      </w:r>
      <w:r w:rsidRPr="00C57281">
        <w:rPr>
          <w:rFonts w:cs="Arial"/>
          <w:szCs w:val="24"/>
        </w:rPr>
        <w:t>the Local Government and Housing Act 1989.</w:t>
      </w:r>
      <w:r>
        <w:rPr>
          <w:rFonts w:cs="Arial"/>
          <w:szCs w:val="24"/>
        </w:rPr>
        <w:t xml:space="preserve"> </w:t>
      </w:r>
      <w:r w:rsidR="006A2FEA">
        <w:rPr>
          <w:rFonts w:cs="Arial"/>
          <w:szCs w:val="24"/>
        </w:rPr>
        <w:t xml:space="preserve"> </w:t>
      </w:r>
      <w:r>
        <w:rPr>
          <w:rFonts w:cs="Arial"/>
          <w:szCs w:val="24"/>
        </w:rPr>
        <w:t xml:space="preserve">There is </w:t>
      </w:r>
      <w:r w:rsidR="00FA5F41">
        <w:rPr>
          <w:rFonts w:cs="Arial"/>
          <w:szCs w:val="24"/>
        </w:rPr>
        <w:t xml:space="preserve">an additional </w:t>
      </w:r>
      <w:r>
        <w:rPr>
          <w:rFonts w:cs="Arial"/>
          <w:szCs w:val="24"/>
        </w:rPr>
        <w:t>recognised protocol (appendix v) that allows temporary vacancies for periods of less than one year to be filled internally.</w:t>
      </w:r>
      <w:r w:rsidR="004D4FD2">
        <w:rPr>
          <w:rFonts w:cs="Arial"/>
          <w:szCs w:val="24"/>
        </w:rPr>
        <w:t xml:space="preserve">  </w:t>
      </w:r>
    </w:p>
    <w:p w14:paraId="6EC7FB81" w14:textId="77777777" w:rsidR="004D4FD2" w:rsidRDefault="004D4FD2" w:rsidP="00540ECE">
      <w:pPr>
        <w:ind w:left="1276" w:hanging="850"/>
        <w:rPr>
          <w:rFonts w:cs="Arial"/>
          <w:szCs w:val="24"/>
        </w:rPr>
      </w:pPr>
    </w:p>
    <w:p w14:paraId="09086DBE" w14:textId="77777777" w:rsidR="007E2FB6" w:rsidRPr="00AD5512" w:rsidRDefault="004D4FD2" w:rsidP="00D32888">
      <w:pPr>
        <w:numPr>
          <w:ilvl w:val="2"/>
          <w:numId w:val="15"/>
        </w:numPr>
        <w:ind w:left="1276" w:hanging="850"/>
        <w:rPr>
          <w:rFonts w:cs="Arial"/>
          <w:szCs w:val="24"/>
        </w:rPr>
      </w:pPr>
      <w:r w:rsidRPr="005C51FA">
        <w:rPr>
          <w:rFonts w:cs="Arial"/>
          <w:color w:val="000000"/>
          <w:szCs w:val="24"/>
        </w:rPr>
        <w:t xml:space="preserve">Appointments to </w:t>
      </w:r>
      <w:r w:rsidR="00205DCD">
        <w:rPr>
          <w:rFonts w:cs="Arial"/>
          <w:color w:val="000000"/>
          <w:szCs w:val="24"/>
        </w:rPr>
        <w:t xml:space="preserve">non-statutory </w:t>
      </w:r>
      <w:r w:rsidRPr="005C51FA">
        <w:rPr>
          <w:rFonts w:cs="Arial"/>
          <w:color w:val="000000"/>
          <w:szCs w:val="24"/>
        </w:rPr>
        <w:t xml:space="preserve">Director </w:t>
      </w:r>
      <w:r w:rsidR="00205DCD">
        <w:rPr>
          <w:rFonts w:cs="Arial"/>
          <w:color w:val="000000"/>
          <w:szCs w:val="24"/>
        </w:rPr>
        <w:t xml:space="preserve">and Chief Officer posts </w:t>
      </w:r>
      <w:r w:rsidRPr="005C51FA">
        <w:rPr>
          <w:rFonts w:cs="Arial"/>
          <w:color w:val="000000"/>
          <w:szCs w:val="24"/>
        </w:rPr>
        <w:t>are made by the Appointments and Conditions of Service Committee, subject to no objections being raised by Cabinet.</w:t>
      </w:r>
      <w:r w:rsidR="007E2FB6" w:rsidRPr="005C51FA">
        <w:rPr>
          <w:rFonts w:cs="Arial"/>
          <w:color w:val="000000"/>
          <w:szCs w:val="24"/>
        </w:rPr>
        <w:t xml:space="preserve">  </w:t>
      </w:r>
      <w:r w:rsidRPr="005C51FA">
        <w:rPr>
          <w:rFonts w:cs="Arial"/>
          <w:color w:val="000000"/>
          <w:szCs w:val="24"/>
        </w:rPr>
        <w:t xml:space="preserve">Appointment </w:t>
      </w:r>
      <w:r w:rsidR="00205DCD">
        <w:rPr>
          <w:rFonts w:cs="Arial"/>
          <w:color w:val="000000"/>
          <w:szCs w:val="24"/>
        </w:rPr>
        <w:t xml:space="preserve">of the Chief Executive or Statutory Officers will be made by the </w:t>
      </w:r>
      <w:r w:rsidR="00205DCD" w:rsidRPr="005C51FA">
        <w:rPr>
          <w:rFonts w:cs="Arial"/>
          <w:color w:val="000000"/>
          <w:szCs w:val="24"/>
        </w:rPr>
        <w:t>Appointments and Conditions of Service Committee, subject to no objections being raised by C</w:t>
      </w:r>
      <w:r w:rsidR="00205DCD">
        <w:rPr>
          <w:rFonts w:cs="Arial"/>
          <w:color w:val="000000"/>
          <w:szCs w:val="24"/>
        </w:rPr>
        <w:t xml:space="preserve">ouncil. Appointment to all other NJC posts </w:t>
      </w:r>
      <w:r w:rsidR="00671CD6" w:rsidRPr="00AD5512">
        <w:rPr>
          <w:rFonts w:cs="Arial"/>
          <w:szCs w:val="24"/>
        </w:rPr>
        <w:t>is</w:t>
      </w:r>
      <w:r w:rsidRPr="00AD5512">
        <w:rPr>
          <w:rFonts w:cs="Arial"/>
          <w:szCs w:val="24"/>
        </w:rPr>
        <w:t xml:space="preserve"> made by officers delegated to act on behalf of the Chief Executive. </w:t>
      </w:r>
      <w:r w:rsidR="00B05B24" w:rsidRPr="00AD5512">
        <w:rPr>
          <w:rFonts w:cs="Arial"/>
          <w:szCs w:val="24"/>
        </w:rPr>
        <w:t xml:space="preserve">The Council’s </w:t>
      </w:r>
      <w:r w:rsidR="00205DCD">
        <w:rPr>
          <w:rFonts w:cs="Arial"/>
          <w:szCs w:val="24"/>
        </w:rPr>
        <w:t>C</w:t>
      </w:r>
      <w:r w:rsidR="00B05B24" w:rsidRPr="00AD5512">
        <w:rPr>
          <w:rFonts w:cs="Arial"/>
          <w:szCs w:val="24"/>
        </w:rPr>
        <w:t>onstitution governs this process.</w:t>
      </w:r>
      <w:r w:rsidR="00911A21" w:rsidRPr="00AD5512">
        <w:rPr>
          <w:rFonts w:cs="Arial"/>
          <w:szCs w:val="24"/>
        </w:rPr>
        <w:t xml:space="preserve"> </w:t>
      </w:r>
    </w:p>
    <w:p w14:paraId="2366B877" w14:textId="77777777" w:rsidR="00911A21" w:rsidRDefault="00911A21" w:rsidP="00540ECE">
      <w:pPr>
        <w:ind w:left="1276" w:hanging="850"/>
        <w:rPr>
          <w:rFonts w:cs="Arial"/>
          <w:szCs w:val="24"/>
        </w:rPr>
      </w:pPr>
    </w:p>
    <w:p w14:paraId="36BF67AD" w14:textId="77777777" w:rsidR="0026190E" w:rsidRDefault="0026190E" w:rsidP="00540ECE">
      <w:pPr>
        <w:ind w:left="1276" w:hanging="850"/>
        <w:rPr>
          <w:rFonts w:cs="Arial"/>
          <w:szCs w:val="24"/>
        </w:rPr>
      </w:pPr>
    </w:p>
    <w:p w14:paraId="67F92565" w14:textId="77777777" w:rsidR="0026190E" w:rsidRDefault="0026190E" w:rsidP="00540ECE">
      <w:pPr>
        <w:ind w:left="1276" w:hanging="850"/>
        <w:rPr>
          <w:rFonts w:cs="Arial"/>
          <w:szCs w:val="24"/>
        </w:rPr>
      </w:pPr>
    </w:p>
    <w:p w14:paraId="5C1C93D1" w14:textId="77777777" w:rsidR="0026190E" w:rsidRPr="00AD5512" w:rsidRDefault="0026190E" w:rsidP="00540ECE">
      <w:pPr>
        <w:ind w:left="1276" w:hanging="850"/>
        <w:rPr>
          <w:rFonts w:cs="Arial"/>
          <w:szCs w:val="24"/>
        </w:rPr>
      </w:pPr>
    </w:p>
    <w:p w14:paraId="4F5FA9FE" w14:textId="77777777" w:rsidR="00911A21" w:rsidRPr="00AD5512" w:rsidRDefault="00911A21" w:rsidP="00D32888">
      <w:pPr>
        <w:numPr>
          <w:ilvl w:val="2"/>
          <w:numId w:val="15"/>
        </w:numPr>
        <w:ind w:left="1276" w:hanging="850"/>
        <w:rPr>
          <w:rFonts w:cs="Arial"/>
          <w:szCs w:val="24"/>
        </w:rPr>
      </w:pPr>
      <w:r w:rsidRPr="00AD5512">
        <w:rPr>
          <w:rFonts w:cs="Arial"/>
          <w:szCs w:val="24"/>
        </w:rPr>
        <w:t xml:space="preserve">Dismissal of Statutory Officers (Head of Paid Service, Monitoring Officer and Chief Financial (Section 151) Officer) </w:t>
      </w:r>
      <w:r w:rsidR="00B05B24" w:rsidRPr="00AD5512">
        <w:rPr>
          <w:rFonts w:cs="Arial"/>
          <w:szCs w:val="24"/>
        </w:rPr>
        <w:t xml:space="preserve">is </w:t>
      </w:r>
      <w:r w:rsidRPr="00AD5512">
        <w:rPr>
          <w:rFonts w:cs="Arial"/>
          <w:szCs w:val="24"/>
        </w:rPr>
        <w:t xml:space="preserve">made through the Appointments and Conditions of Service Committee which will first consider the case and make an initial determination </w:t>
      </w:r>
      <w:r w:rsidR="00B05B24" w:rsidRPr="00AD5512">
        <w:rPr>
          <w:rFonts w:cs="Arial"/>
          <w:szCs w:val="24"/>
        </w:rPr>
        <w:t xml:space="preserve">that </w:t>
      </w:r>
      <w:r w:rsidRPr="00AD5512">
        <w:rPr>
          <w:rFonts w:cs="Arial"/>
          <w:szCs w:val="24"/>
        </w:rPr>
        <w:t xml:space="preserve">will </w:t>
      </w:r>
      <w:r w:rsidR="00A016BD" w:rsidRPr="00AD5512">
        <w:rPr>
          <w:rFonts w:cs="Arial"/>
          <w:szCs w:val="24"/>
        </w:rPr>
        <w:t>be subsequently referred to an I</w:t>
      </w:r>
      <w:r w:rsidRPr="00AD5512">
        <w:rPr>
          <w:rFonts w:cs="Arial"/>
          <w:szCs w:val="24"/>
        </w:rPr>
        <w:t xml:space="preserve">ndependent Panel charged with making a recommendation to Council at which a decision will be taken to approve or reject the dismissal. </w:t>
      </w:r>
      <w:r w:rsidR="00A016BD" w:rsidRPr="00AD5512">
        <w:rPr>
          <w:rFonts w:cs="Arial"/>
          <w:szCs w:val="24"/>
        </w:rPr>
        <w:t xml:space="preserve">Dismissal of Directors that are not Statutory Officers </w:t>
      </w:r>
      <w:r w:rsidR="00F01B65">
        <w:rPr>
          <w:rFonts w:cs="Arial"/>
          <w:szCs w:val="24"/>
        </w:rPr>
        <w:t xml:space="preserve">and other chief officers including Heads of Service </w:t>
      </w:r>
      <w:r w:rsidR="00A016BD" w:rsidRPr="00AD5512">
        <w:rPr>
          <w:rFonts w:cs="Arial"/>
          <w:szCs w:val="24"/>
        </w:rPr>
        <w:t>will not be referred to an Independent Panel</w:t>
      </w:r>
      <w:r w:rsidR="00F01B65">
        <w:rPr>
          <w:rFonts w:cs="Arial"/>
          <w:szCs w:val="24"/>
        </w:rPr>
        <w:t xml:space="preserve"> or to Council; the decision will be within the remit of the Appointments and Conditions of Service Committee</w:t>
      </w:r>
      <w:r w:rsidR="00A016BD" w:rsidRPr="00AD5512">
        <w:rPr>
          <w:rFonts w:cs="Arial"/>
          <w:szCs w:val="24"/>
        </w:rPr>
        <w:t xml:space="preserve">.  Dismissal from all other posts is made by the Chief Executive or to officers delegated to act on behalf of the Chief Executive.   </w:t>
      </w:r>
      <w:r w:rsidR="00667DA5" w:rsidRPr="00AD5512">
        <w:rPr>
          <w:rFonts w:cs="Arial"/>
          <w:szCs w:val="24"/>
        </w:rPr>
        <w:t>The Council’</w:t>
      </w:r>
      <w:r w:rsidR="00F01B65">
        <w:rPr>
          <w:rFonts w:cs="Arial"/>
          <w:szCs w:val="24"/>
        </w:rPr>
        <w:t>s C</w:t>
      </w:r>
      <w:r w:rsidR="00667DA5" w:rsidRPr="00AD5512">
        <w:rPr>
          <w:rFonts w:cs="Arial"/>
          <w:szCs w:val="24"/>
        </w:rPr>
        <w:t xml:space="preserve">onstitution sets out the process for dismissal of Statutory Officers and other Chief Officers. </w:t>
      </w:r>
      <w:r w:rsidR="00213E31" w:rsidRPr="00AD5512">
        <w:rPr>
          <w:rFonts w:cs="Arial"/>
          <w:szCs w:val="24"/>
        </w:rPr>
        <w:t xml:space="preserve">Where they exist, model procedures contained within national Chief Officers’ </w:t>
      </w:r>
      <w:r w:rsidR="00F01B65">
        <w:rPr>
          <w:rFonts w:cs="Arial"/>
          <w:szCs w:val="24"/>
        </w:rPr>
        <w:t xml:space="preserve">or Chief Executives’ </w:t>
      </w:r>
      <w:r w:rsidR="00213E31" w:rsidRPr="00AD5512">
        <w:rPr>
          <w:rFonts w:cs="Arial"/>
          <w:szCs w:val="24"/>
        </w:rPr>
        <w:t xml:space="preserve">terms and conditions will be used as guidance. </w:t>
      </w:r>
    </w:p>
    <w:p w14:paraId="240952C9" w14:textId="77777777" w:rsidR="007E2FB6" w:rsidRPr="00AD5512" w:rsidRDefault="007E2FB6" w:rsidP="00540ECE">
      <w:pPr>
        <w:ind w:left="1276" w:hanging="850"/>
        <w:rPr>
          <w:rFonts w:cs="Arial"/>
          <w:szCs w:val="24"/>
        </w:rPr>
      </w:pPr>
    </w:p>
    <w:p w14:paraId="14B9B6DF" w14:textId="77777777" w:rsidR="00911A21" w:rsidRDefault="007E2FB6" w:rsidP="00D32888">
      <w:pPr>
        <w:numPr>
          <w:ilvl w:val="2"/>
          <w:numId w:val="15"/>
        </w:numPr>
        <w:ind w:left="1276" w:hanging="850"/>
        <w:rPr>
          <w:rFonts w:cs="Arial"/>
          <w:szCs w:val="24"/>
        </w:rPr>
      </w:pPr>
      <w:r w:rsidRPr="00AD5512">
        <w:rPr>
          <w:rFonts w:cs="Arial"/>
          <w:szCs w:val="24"/>
        </w:rPr>
        <w:t xml:space="preserve">In respect to appointment to any post, where </w:t>
      </w:r>
      <w:r w:rsidR="00A80ACE" w:rsidRPr="00AD5512">
        <w:rPr>
          <w:rFonts w:cs="Arial"/>
          <w:szCs w:val="24"/>
        </w:rPr>
        <w:t xml:space="preserve">the grade of </w:t>
      </w:r>
      <w:r w:rsidRPr="00AD5512">
        <w:rPr>
          <w:rFonts w:cs="Arial"/>
          <w:szCs w:val="24"/>
        </w:rPr>
        <w:t>a post compromises a</w:t>
      </w:r>
      <w:r>
        <w:rPr>
          <w:rFonts w:cs="Arial"/>
          <w:szCs w:val="24"/>
        </w:rPr>
        <w:t xml:space="preserve"> range of pay points, the general practice is that appointment is made to the bottom pay point other than in cases where the successful candidate can demonstrate that their experience or skill set is of relevant and exceptional nature</w:t>
      </w:r>
      <w:r w:rsidR="00726999">
        <w:rPr>
          <w:rFonts w:cs="Arial"/>
          <w:szCs w:val="24"/>
        </w:rPr>
        <w:t>.  I</w:t>
      </w:r>
      <w:r>
        <w:rPr>
          <w:rFonts w:cs="Arial"/>
          <w:szCs w:val="24"/>
        </w:rPr>
        <w:t xml:space="preserve">n </w:t>
      </w:r>
      <w:r w:rsidR="00A80ACE">
        <w:rPr>
          <w:rFonts w:cs="Arial"/>
          <w:szCs w:val="24"/>
        </w:rPr>
        <w:t>such</w:t>
      </w:r>
      <w:r>
        <w:rPr>
          <w:rFonts w:cs="Arial"/>
          <w:szCs w:val="24"/>
        </w:rPr>
        <w:t xml:space="preserve"> case</w:t>
      </w:r>
      <w:r w:rsidR="00A80ACE">
        <w:rPr>
          <w:rFonts w:cs="Arial"/>
          <w:szCs w:val="24"/>
        </w:rPr>
        <w:t>s, for</w:t>
      </w:r>
      <w:r w:rsidR="00726999">
        <w:rPr>
          <w:rFonts w:cs="Arial"/>
          <w:szCs w:val="24"/>
        </w:rPr>
        <w:t xml:space="preserve"> </w:t>
      </w:r>
      <w:r w:rsidR="007F1562">
        <w:rPr>
          <w:rFonts w:cs="Arial"/>
          <w:szCs w:val="24"/>
        </w:rPr>
        <w:t>officers</w:t>
      </w:r>
      <w:r w:rsidR="00726999">
        <w:rPr>
          <w:rFonts w:cs="Arial"/>
          <w:szCs w:val="24"/>
        </w:rPr>
        <w:t xml:space="preserve"> working under NJC conditions, </w:t>
      </w:r>
      <w:r>
        <w:rPr>
          <w:rFonts w:cs="Arial"/>
          <w:szCs w:val="24"/>
        </w:rPr>
        <w:t xml:space="preserve">a </w:t>
      </w:r>
      <w:r w:rsidR="00EA654F">
        <w:rPr>
          <w:rFonts w:cs="Arial"/>
          <w:szCs w:val="24"/>
        </w:rPr>
        <w:t>Head of Service</w:t>
      </w:r>
      <w:r>
        <w:rPr>
          <w:rFonts w:cs="Arial"/>
          <w:szCs w:val="24"/>
        </w:rPr>
        <w:t xml:space="preserve"> may agree to commencement at a higher pay point.  </w:t>
      </w:r>
      <w:r w:rsidR="00A016BD">
        <w:rPr>
          <w:rFonts w:cs="Arial"/>
          <w:szCs w:val="24"/>
        </w:rPr>
        <w:t>For a JNC post, the decision about pay on appointment will rest with the appointing officer o</w:t>
      </w:r>
      <w:r w:rsidR="002C4201">
        <w:rPr>
          <w:rFonts w:cs="Arial"/>
          <w:szCs w:val="24"/>
        </w:rPr>
        <w:t>r</w:t>
      </w:r>
      <w:r w:rsidR="00A016BD">
        <w:rPr>
          <w:rFonts w:cs="Arial"/>
          <w:szCs w:val="24"/>
        </w:rPr>
        <w:t xml:space="preserve"> </w:t>
      </w:r>
      <w:r w:rsidR="002C4201">
        <w:rPr>
          <w:rFonts w:cs="Arial"/>
          <w:szCs w:val="24"/>
        </w:rPr>
        <w:t xml:space="preserve">committee as appropriate. </w:t>
      </w:r>
    </w:p>
    <w:p w14:paraId="33A95849" w14:textId="77777777" w:rsidR="00911A21" w:rsidRDefault="00911A21" w:rsidP="00540ECE">
      <w:pPr>
        <w:ind w:left="1276" w:hanging="850"/>
        <w:rPr>
          <w:rFonts w:cs="Arial"/>
          <w:szCs w:val="24"/>
        </w:rPr>
      </w:pPr>
    </w:p>
    <w:p w14:paraId="02ACC91B" w14:textId="77777777" w:rsidR="00541B83" w:rsidRDefault="00726999" w:rsidP="00D32888">
      <w:pPr>
        <w:numPr>
          <w:ilvl w:val="2"/>
          <w:numId w:val="15"/>
        </w:numPr>
        <w:ind w:left="1276" w:hanging="850"/>
        <w:rPr>
          <w:rFonts w:cs="Arial"/>
          <w:szCs w:val="24"/>
        </w:rPr>
      </w:pPr>
      <w:r>
        <w:rPr>
          <w:rFonts w:cs="Arial"/>
          <w:szCs w:val="24"/>
        </w:rPr>
        <w:t xml:space="preserve">For </w:t>
      </w:r>
      <w:r w:rsidR="00911A21">
        <w:rPr>
          <w:rFonts w:cs="Arial"/>
          <w:szCs w:val="24"/>
        </w:rPr>
        <w:t xml:space="preserve">Directors </w:t>
      </w:r>
      <w:r w:rsidR="00A80ACE">
        <w:rPr>
          <w:rFonts w:cs="Arial"/>
          <w:szCs w:val="24"/>
        </w:rPr>
        <w:t>governed by JNC conditions</w:t>
      </w:r>
      <w:r>
        <w:rPr>
          <w:rFonts w:cs="Arial"/>
          <w:szCs w:val="24"/>
        </w:rPr>
        <w:t xml:space="preserve">, pay at appointment and subsequent </w:t>
      </w:r>
      <w:r w:rsidR="00885928">
        <w:rPr>
          <w:rFonts w:cs="Arial"/>
          <w:szCs w:val="24"/>
        </w:rPr>
        <w:t>advancement through the pay grade</w:t>
      </w:r>
      <w:r>
        <w:rPr>
          <w:rFonts w:cs="Arial"/>
          <w:szCs w:val="24"/>
        </w:rPr>
        <w:t xml:space="preserve"> is determined by the Chief Executive following consulta</w:t>
      </w:r>
      <w:r w:rsidR="00911A21">
        <w:rPr>
          <w:rFonts w:cs="Arial"/>
          <w:szCs w:val="24"/>
        </w:rPr>
        <w:t>tion with the Appointments and Conditions of Service C</w:t>
      </w:r>
      <w:r>
        <w:rPr>
          <w:rFonts w:cs="Arial"/>
          <w:szCs w:val="24"/>
        </w:rPr>
        <w:t>ommittee as detailed in Appendix v</w:t>
      </w:r>
      <w:r w:rsidR="00770859">
        <w:rPr>
          <w:rFonts w:cs="Arial"/>
          <w:szCs w:val="24"/>
        </w:rPr>
        <w:t>i</w:t>
      </w:r>
      <w:r w:rsidR="00541B83">
        <w:rPr>
          <w:rFonts w:cs="Arial"/>
          <w:szCs w:val="24"/>
        </w:rPr>
        <w:t>-a</w:t>
      </w:r>
      <w:r>
        <w:rPr>
          <w:rFonts w:cs="Arial"/>
          <w:szCs w:val="24"/>
        </w:rPr>
        <w:t xml:space="preserve">. </w:t>
      </w:r>
      <w:r w:rsidR="007E2FB6">
        <w:rPr>
          <w:rFonts w:cs="Arial"/>
          <w:szCs w:val="24"/>
        </w:rPr>
        <w:t xml:space="preserve">The same </w:t>
      </w:r>
      <w:r>
        <w:rPr>
          <w:rFonts w:cs="Arial"/>
          <w:szCs w:val="24"/>
        </w:rPr>
        <w:t xml:space="preserve">general </w:t>
      </w:r>
      <w:r w:rsidR="007E2FB6">
        <w:rPr>
          <w:rFonts w:cs="Arial"/>
          <w:szCs w:val="24"/>
        </w:rPr>
        <w:t>principle</w:t>
      </w:r>
      <w:r>
        <w:rPr>
          <w:rFonts w:cs="Arial"/>
          <w:szCs w:val="24"/>
        </w:rPr>
        <w:t xml:space="preserve">s governing </w:t>
      </w:r>
      <w:r w:rsidR="002E4929">
        <w:rPr>
          <w:rFonts w:cs="Arial"/>
          <w:szCs w:val="24"/>
        </w:rPr>
        <w:t>application of pay points</w:t>
      </w:r>
      <w:r w:rsidR="007E2FB6">
        <w:rPr>
          <w:rFonts w:cs="Arial"/>
          <w:szCs w:val="24"/>
        </w:rPr>
        <w:t xml:space="preserve"> appl</w:t>
      </w:r>
      <w:r>
        <w:rPr>
          <w:rFonts w:cs="Arial"/>
          <w:szCs w:val="24"/>
        </w:rPr>
        <w:t>y</w:t>
      </w:r>
      <w:r w:rsidR="007E2FB6">
        <w:rPr>
          <w:rFonts w:cs="Arial"/>
          <w:szCs w:val="24"/>
        </w:rPr>
        <w:t xml:space="preserve"> both to external appointment and internal promotion. </w:t>
      </w:r>
    </w:p>
    <w:p w14:paraId="39ABC975" w14:textId="77777777" w:rsidR="00541B83" w:rsidRDefault="00541B83" w:rsidP="0092436B">
      <w:pPr>
        <w:pStyle w:val="ListParagraph"/>
        <w:spacing w:after="0"/>
        <w:rPr>
          <w:rFonts w:cs="Arial"/>
          <w:szCs w:val="24"/>
        </w:rPr>
      </w:pPr>
    </w:p>
    <w:p w14:paraId="0E5C4D46" w14:textId="77777777" w:rsidR="00541B83" w:rsidRPr="00541B83" w:rsidRDefault="00541B83" w:rsidP="00D32888">
      <w:pPr>
        <w:numPr>
          <w:ilvl w:val="2"/>
          <w:numId w:val="15"/>
        </w:numPr>
        <w:ind w:left="1276" w:hanging="850"/>
        <w:rPr>
          <w:rFonts w:cs="Arial"/>
          <w:szCs w:val="24"/>
        </w:rPr>
      </w:pPr>
      <w:r>
        <w:rPr>
          <w:rFonts w:cs="Arial"/>
          <w:szCs w:val="24"/>
        </w:rPr>
        <w:t>A similar scheme linking pay to performance exists for the Chie</w:t>
      </w:r>
      <w:r w:rsidR="001C6821">
        <w:rPr>
          <w:rFonts w:cs="Arial"/>
          <w:szCs w:val="24"/>
        </w:rPr>
        <w:t>f</w:t>
      </w:r>
      <w:r>
        <w:rPr>
          <w:rFonts w:cs="Arial"/>
          <w:szCs w:val="24"/>
        </w:rPr>
        <w:t xml:space="preserve"> Executive. This is shown at Appendix vi-</w:t>
      </w:r>
      <w:proofErr w:type="gramStart"/>
      <w:r>
        <w:rPr>
          <w:rFonts w:cs="Arial"/>
          <w:szCs w:val="24"/>
        </w:rPr>
        <w:t>b</w:t>
      </w:r>
      <w:proofErr w:type="gramEnd"/>
    </w:p>
    <w:p w14:paraId="060D30A7" w14:textId="77777777" w:rsidR="00911A21" w:rsidRDefault="00911A21" w:rsidP="00540ECE">
      <w:pPr>
        <w:ind w:left="1276" w:hanging="850"/>
        <w:rPr>
          <w:rFonts w:cs="Arial"/>
          <w:szCs w:val="24"/>
        </w:rPr>
      </w:pPr>
    </w:p>
    <w:p w14:paraId="43102F50" w14:textId="2A90DB48" w:rsidR="0040416F" w:rsidRPr="00DD4B2E" w:rsidRDefault="00FF7AF8" w:rsidP="00D32888">
      <w:pPr>
        <w:numPr>
          <w:ilvl w:val="2"/>
          <w:numId w:val="15"/>
        </w:numPr>
        <w:ind w:left="1276" w:hanging="850"/>
        <w:rPr>
          <w:rFonts w:cs="Arial"/>
          <w:color w:val="000000"/>
          <w:szCs w:val="24"/>
        </w:rPr>
      </w:pPr>
      <w:r w:rsidRPr="00DD4B2E">
        <w:rPr>
          <w:rFonts w:cs="Arial"/>
          <w:color w:val="000000"/>
          <w:szCs w:val="24"/>
        </w:rPr>
        <w:t>The Council has an established training grade which mirrors the national pay rates for apprentices</w:t>
      </w:r>
      <w:r w:rsidR="009E2447" w:rsidRPr="00DD4B2E">
        <w:rPr>
          <w:rFonts w:cs="Arial"/>
          <w:color w:val="000000"/>
          <w:szCs w:val="24"/>
        </w:rPr>
        <w:t>.</w:t>
      </w:r>
      <w:r w:rsidRPr="00DD4B2E">
        <w:rPr>
          <w:rFonts w:cs="Arial"/>
          <w:color w:val="000000"/>
          <w:szCs w:val="24"/>
        </w:rPr>
        <w:t xml:space="preserve">  The </w:t>
      </w:r>
      <w:r w:rsidR="0040416F" w:rsidRPr="00DD4B2E">
        <w:rPr>
          <w:rFonts w:cs="Arial"/>
          <w:color w:val="000000"/>
          <w:szCs w:val="24"/>
        </w:rPr>
        <w:t xml:space="preserve">policy relating to the application of this arrangement was adopted in September 2016.  Although potentially applicable to a training post of any type, the grade is designed to be applied specifically to </w:t>
      </w:r>
      <w:r w:rsidR="00ED3CBC">
        <w:rPr>
          <w:rFonts w:cs="Arial"/>
          <w:color w:val="000000"/>
          <w:szCs w:val="24"/>
        </w:rPr>
        <w:t xml:space="preserve">entry-level </w:t>
      </w:r>
      <w:r w:rsidR="0040416F" w:rsidRPr="00DD4B2E">
        <w:rPr>
          <w:rFonts w:cs="Arial"/>
          <w:color w:val="000000"/>
          <w:szCs w:val="24"/>
        </w:rPr>
        <w:t xml:space="preserve">apprentices employed directly by the Council.  </w:t>
      </w:r>
    </w:p>
    <w:p w14:paraId="5EF3F630" w14:textId="77777777" w:rsidR="00CE232E" w:rsidRDefault="00CE232E" w:rsidP="0040416F">
      <w:pPr>
        <w:ind w:left="1276"/>
        <w:rPr>
          <w:rFonts w:cs="Arial"/>
          <w:szCs w:val="24"/>
        </w:rPr>
      </w:pPr>
    </w:p>
    <w:p w14:paraId="50387F61" w14:textId="77777777" w:rsidR="006A2FEA" w:rsidRDefault="00885928" w:rsidP="00D32888">
      <w:pPr>
        <w:numPr>
          <w:ilvl w:val="2"/>
          <w:numId w:val="15"/>
        </w:numPr>
        <w:ind w:left="1276" w:hanging="850"/>
        <w:rPr>
          <w:rFonts w:cs="Arial"/>
          <w:szCs w:val="24"/>
        </w:rPr>
      </w:pPr>
      <w:r>
        <w:rPr>
          <w:rFonts w:cs="Arial"/>
          <w:szCs w:val="24"/>
        </w:rPr>
        <w:t>A</w:t>
      </w:r>
      <w:r w:rsidR="001F5D9D">
        <w:rPr>
          <w:rFonts w:cs="Arial"/>
          <w:szCs w:val="24"/>
        </w:rPr>
        <w:t>s a general principle and where business need allows, the Council support</w:t>
      </w:r>
      <w:r>
        <w:rPr>
          <w:rFonts w:cs="Arial"/>
          <w:szCs w:val="24"/>
        </w:rPr>
        <w:t>s</w:t>
      </w:r>
      <w:r w:rsidR="001F5D9D">
        <w:rPr>
          <w:rFonts w:cs="Arial"/>
          <w:szCs w:val="24"/>
        </w:rPr>
        <w:t xml:space="preserve"> the sharing of posts (job share) between two or more people.  </w:t>
      </w:r>
      <w:r>
        <w:rPr>
          <w:rFonts w:cs="Arial"/>
          <w:szCs w:val="24"/>
        </w:rPr>
        <w:t>A</w:t>
      </w:r>
      <w:r w:rsidR="00CE232E">
        <w:rPr>
          <w:rFonts w:cs="Arial"/>
          <w:szCs w:val="24"/>
        </w:rPr>
        <w:t xml:space="preserve">ppointments </w:t>
      </w:r>
      <w:r>
        <w:rPr>
          <w:rFonts w:cs="Arial"/>
          <w:szCs w:val="24"/>
        </w:rPr>
        <w:t xml:space="preserve">will be </w:t>
      </w:r>
      <w:r w:rsidR="00CE232E">
        <w:rPr>
          <w:rFonts w:cs="Arial"/>
          <w:szCs w:val="24"/>
        </w:rPr>
        <w:t>made on merit</w:t>
      </w:r>
      <w:r w:rsidR="007E2FB6">
        <w:rPr>
          <w:rFonts w:cs="Arial"/>
          <w:szCs w:val="24"/>
        </w:rPr>
        <w:t xml:space="preserve">.  Appointment for any job share partner will be made within the confines of the pay grade, determined through job evaluation and within the principles as described above in relation to </w:t>
      </w:r>
      <w:r w:rsidR="00C51E8C">
        <w:rPr>
          <w:rFonts w:cs="Arial"/>
          <w:szCs w:val="24"/>
        </w:rPr>
        <w:t>the determination of starting salary.</w:t>
      </w:r>
      <w:r w:rsidR="006A2FEA">
        <w:rPr>
          <w:rFonts w:cs="Arial"/>
          <w:szCs w:val="24"/>
        </w:rPr>
        <w:t xml:space="preserve">  </w:t>
      </w:r>
    </w:p>
    <w:p w14:paraId="227B9451" w14:textId="77777777" w:rsidR="00522C4C" w:rsidRDefault="00522C4C" w:rsidP="00540ECE">
      <w:pPr>
        <w:ind w:left="1276" w:hanging="850"/>
        <w:rPr>
          <w:rFonts w:cs="Arial"/>
          <w:szCs w:val="24"/>
        </w:rPr>
      </w:pPr>
    </w:p>
    <w:p w14:paraId="79F5A65D" w14:textId="77777777" w:rsidR="00FA08EE" w:rsidRDefault="007F1562" w:rsidP="00D32888">
      <w:pPr>
        <w:numPr>
          <w:ilvl w:val="2"/>
          <w:numId w:val="15"/>
        </w:numPr>
        <w:ind w:left="1276" w:hanging="850"/>
        <w:rPr>
          <w:rFonts w:cs="Arial"/>
          <w:szCs w:val="24"/>
        </w:rPr>
      </w:pPr>
      <w:r w:rsidRPr="00B05B24">
        <w:rPr>
          <w:rFonts w:cs="Arial"/>
          <w:szCs w:val="24"/>
        </w:rPr>
        <w:t xml:space="preserve">In 2013 </w:t>
      </w:r>
      <w:r w:rsidR="00FA08EE" w:rsidRPr="00B05B24">
        <w:rPr>
          <w:rFonts w:cs="Arial"/>
          <w:szCs w:val="24"/>
        </w:rPr>
        <w:t xml:space="preserve">supplementary guidance </w:t>
      </w:r>
      <w:r w:rsidRPr="00B05B24">
        <w:rPr>
          <w:rFonts w:cs="Arial"/>
          <w:szCs w:val="24"/>
        </w:rPr>
        <w:t>was</w:t>
      </w:r>
      <w:r w:rsidR="00FA08EE" w:rsidRPr="00B05B24">
        <w:rPr>
          <w:rFonts w:cs="Arial"/>
          <w:szCs w:val="24"/>
        </w:rPr>
        <w:t xml:space="preserve"> offered by the Department for Communities and Local Government under section 40 of the Localism Act 2011 about decisions relating to appointments and dismissal from senior posts where the costs of such decisions are likely to be high.  The Secretary of State considers that a salary of £100,000 is the right level for the threshold of such decisions. </w:t>
      </w:r>
    </w:p>
    <w:p w14:paraId="5FFC2DCD" w14:textId="77777777" w:rsidR="00B05B24" w:rsidRDefault="00B05B24" w:rsidP="00B05B24">
      <w:pPr>
        <w:ind w:left="1276"/>
        <w:rPr>
          <w:rFonts w:cs="Arial"/>
          <w:szCs w:val="24"/>
        </w:rPr>
      </w:pPr>
    </w:p>
    <w:p w14:paraId="68760097" w14:textId="1560C608" w:rsidR="00FA08EE" w:rsidRPr="00866965" w:rsidRDefault="00FA08EE" w:rsidP="00B05B24">
      <w:pPr>
        <w:ind w:left="1276"/>
        <w:rPr>
          <w:rFonts w:cs="Arial"/>
          <w:szCs w:val="24"/>
        </w:rPr>
      </w:pPr>
      <w:r w:rsidRPr="00866965">
        <w:rPr>
          <w:rFonts w:cs="Arial"/>
          <w:szCs w:val="24"/>
        </w:rPr>
        <w:t>In the year 20</w:t>
      </w:r>
      <w:r w:rsidR="001C6821">
        <w:rPr>
          <w:rFonts w:cs="Arial"/>
          <w:szCs w:val="24"/>
        </w:rPr>
        <w:t>2</w:t>
      </w:r>
      <w:r w:rsidR="00ED3CBC">
        <w:rPr>
          <w:rFonts w:cs="Arial"/>
          <w:szCs w:val="24"/>
        </w:rPr>
        <w:t>3</w:t>
      </w:r>
      <w:r w:rsidR="001C6821">
        <w:rPr>
          <w:rFonts w:cs="Arial"/>
          <w:szCs w:val="24"/>
        </w:rPr>
        <w:t>/</w:t>
      </w:r>
      <w:r w:rsidR="00541B83">
        <w:rPr>
          <w:rFonts w:cs="Arial"/>
          <w:szCs w:val="24"/>
        </w:rPr>
        <w:t>2</w:t>
      </w:r>
      <w:r w:rsidR="00ED3CBC">
        <w:rPr>
          <w:rFonts w:cs="Arial"/>
          <w:szCs w:val="24"/>
        </w:rPr>
        <w:t>4</w:t>
      </w:r>
      <w:r w:rsidRPr="00866965">
        <w:rPr>
          <w:rFonts w:cs="Arial"/>
          <w:szCs w:val="24"/>
        </w:rPr>
        <w:t xml:space="preserve"> </w:t>
      </w:r>
      <w:r w:rsidR="002B79C2" w:rsidRPr="00866965">
        <w:rPr>
          <w:rFonts w:cs="Arial"/>
          <w:szCs w:val="24"/>
        </w:rPr>
        <w:t xml:space="preserve">the only post at this pay level is that </w:t>
      </w:r>
      <w:r w:rsidRPr="00866965">
        <w:rPr>
          <w:rFonts w:cs="Arial"/>
          <w:szCs w:val="24"/>
        </w:rPr>
        <w:t>of Chief Executive</w:t>
      </w:r>
      <w:r w:rsidR="002B79C2" w:rsidRPr="00866965">
        <w:rPr>
          <w:rFonts w:cs="Arial"/>
          <w:szCs w:val="24"/>
        </w:rPr>
        <w:t xml:space="preserve">.  This post is </w:t>
      </w:r>
      <w:r w:rsidRPr="00866965">
        <w:rPr>
          <w:rFonts w:cs="Arial"/>
          <w:szCs w:val="24"/>
        </w:rPr>
        <w:t>defined as “senior” for the purpose of this guidance and consequently decisions relating to appointment and dismissal will be determined by full Council following recommendation made by the Appointments and Conditions of Service Committee.  This arrangem</w:t>
      </w:r>
      <w:r w:rsidR="000E48ED" w:rsidRPr="00866965">
        <w:rPr>
          <w:rFonts w:cs="Arial"/>
          <w:szCs w:val="24"/>
        </w:rPr>
        <w:t>ent is incorporated within the C</w:t>
      </w:r>
      <w:r w:rsidRPr="00866965">
        <w:rPr>
          <w:rFonts w:cs="Arial"/>
          <w:szCs w:val="24"/>
        </w:rPr>
        <w:t xml:space="preserve">ouncil’s </w:t>
      </w:r>
      <w:r w:rsidR="0092436B">
        <w:rPr>
          <w:rFonts w:cs="Arial"/>
          <w:szCs w:val="24"/>
        </w:rPr>
        <w:t>C</w:t>
      </w:r>
      <w:r w:rsidRPr="00866965">
        <w:rPr>
          <w:rFonts w:cs="Arial"/>
          <w:szCs w:val="24"/>
        </w:rPr>
        <w:t>onstitution.</w:t>
      </w:r>
    </w:p>
    <w:p w14:paraId="12018902" w14:textId="77777777" w:rsidR="00FA08EE" w:rsidRPr="00866965" w:rsidRDefault="00FA08EE" w:rsidP="00540ECE">
      <w:pPr>
        <w:ind w:left="1276" w:hanging="850"/>
        <w:rPr>
          <w:rFonts w:cs="Arial"/>
          <w:szCs w:val="24"/>
        </w:rPr>
      </w:pPr>
    </w:p>
    <w:p w14:paraId="5FF1D7A2" w14:textId="77777777" w:rsidR="00FA08EE" w:rsidRPr="00866965" w:rsidRDefault="00FA08EE" w:rsidP="00540ECE">
      <w:pPr>
        <w:ind w:left="1276" w:hanging="850"/>
        <w:rPr>
          <w:rFonts w:cs="Arial"/>
          <w:szCs w:val="24"/>
        </w:rPr>
      </w:pPr>
    </w:p>
    <w:p w14:paraId="5BEA4DBF" w14:textId="77777777" w:rsidR="002B79C2" w:rsidRDefault="002B79C2" w:rsidP="00D32888">
      <w:pPr>
        <w:numPr>
          <w:ilvl w:val="2"/>
          <w:numId w:val="15"/>
        </w:numPr>
        <w:ind w:left="1276" w:hanging="850"/>
        <w:rPr>
          <w:rFonts w:cs="Arial"/>
          <w:szCs w:val="24"/>
        </w:rPr>
      </w:pPr>
      <w:r w:rsidRPr="002B79C2">
        <w:rPr>
          <w:rFonts w:cs="Arial"/>
          <w:szCs w:val="24"/>
        </w:rPr>
        <w:t xml:space="preserve">Already published elsewhere in this Pay Policy Statement are the </w:t>
      </w:r>
      <w:r w:rsidR="000E48ED">
        <w:rPr>
          <w:rFonts w:cs="Arial"/>
          <w:szCs w:val="24"/>
        </w:rPr>
        <w:t>Council</w:t>
      </w:r>
      <w:r w:rsidR="00FF7AF8">
        <w:rPr>
          <w:rFonts w:cs="Arial"/>
          <w:szCs w:val="24"/>
        </w:rPr>
        <w:t>’s key documents</w:t>
      </w:r>
      <w:r w:rsidRPr="002B79C2">
        <w:rPr>
          <w:rFonts w:cs="Arial"/>
          <w:szCs w:val="24"/>
        </w:rPr>
        <w:t xml:space="preserve"> relating to severance policies and discretionary compensation for employees, including senior officers in the event of redundancy. </w:t>
      </w:r>
      <w:r w:rsidR="00DA2375">
        <w:rPr>
          <w:rFonts w:cs="Arial"/>
          <w:szCs w:val="24"/>
        </w:rPr>
        <w:t xml:space="preserve">Specifically, the Council does also have a </w:t>
      </w:r>
      <w:r w:rsidR="00D32888">
        <w:rPr>
          <w:rFonts w:cs="Arial"/>
          <w:szCs w:val="24"/>
        </w:rPr>
        <w:t xml:space="preserve">Special </w:t>
      </w:r>
      <w:r w:rsidR="00DA2375">
        <w:rPr>
          <w:rFonts w:cs="Arial"/>
          <w:szCs w:val="24"/>
        </w:rPr>
        <w:t>Severance Pay Policy that determines how such payments will be made, the authority needed to make the payments</w:t>
      </w:r>
      <w:r w:rsidR="00D32888">
        <w:rPr>
          <w:rFonts w:cs="Arial"/>
          <w:szCs w:val="24"/>
        </w:rPr>
        <w:t>,</w:t>
      </w:r>
      <w:r w:rsidR="00DA2375">
        <w:rPr>
          <w:rFonts w:cs="Arial"/>
          <w:szCs w:val="24"/>
        </w:rPr>
        <w:t xml:space="preserve"> and how these are reported. The policy is shown at Appendix ix.  </w:t>
      </w:r>
    </w:p>
    <w:p w14:paraId="46B587CE" w14:textId="77777777" w:rsidR="002B79C2" w:rsidRDefault="002B79C2" w:rsidP="00540ECE">
      <w:pPr>
        <w:ind w:left="1276" w:hanging="850"/>
        <w:rPr>
          <w:rFonts w:cs="Arial"/>
          <w:szCs w:val="24"/>
        </w:rPr>
      </w:pPr>
    </w:p>
    <w:p w14:paraId="3D27C77F" w14:textId="77777777" w:rsidR="002B79C2" w:rsidRDefault="00FF7AF8" w:rsidP="00D32888">
      <w:pPr>
        <w:numPr>
          <w:ilvl w:val="2"/>
          <w:numId w:val="15"/>
        </w:numPr>
        <w:ind w:hanging="798"/>
        <w:rPr>
          <w:rFonts w:cs="Arial"/>
          <w:szCs w:val="24"/>
        </w:rPr>
      </w:pPr>
      <w:r>
        <w:rPr>
          <w:rFonts w:cs="Arial"/>
          <w:szCs w:val="24"/>
        </w:rPr>
        <w:t>A</w:t>
      </w:r>
      <w:r w:rsidR="002B79C2" w:rsidRPr="002B79C2">
        <w:rPr>
          <w:rFonts w:cs="Arial"/>
          <w:szCs w:val="24"/>
        </w:rPr>
        <w:t xml:space="preserve">ccess to the full set of local pension discretions required under Regulation 60(5) of the LGPS 2013 are shown on the </w:t>
      </w:r>
      <w:r w:rsidR="000E48ED">
        <w:rPr>
          <w:rFonts w:cs="Arial"/>
          <w:szCs w:val="24"/>
        </w:rPr>
        <w:t>Council</w:t>
      </w:r>
      <w:r w:rsidR="002B79C2" w:rsidRPr="002B79C2">
        <w:rPr>
          <w:rFonts w:cs="Arial"/>
          <w:szCs w:val="24"/>
        </w:rPr>
        <w:t xml:space="preserve">’s website under the “How we work” section at </w:t>
      </w:r>
      <w:hyperlink r:id="rId11" w:history="1">
        <w:r w:rsidR="00550634">
          <w:rPr>
            <w:rStyle w:val="Hyperlink"/>
          </w:rPr>
          <w:t>https://www.gedling.gov.uk/media/gedlingboroughcouncil/documents/council/aboutus/policies/Pension%20Discretions%20Policy%20(July%202019).pdf</w:t>
        </w:r>
      </w:hyperlink>
    </w:p>
    <w:p w14:paraId="3A1D2EED" w14:textId="77777777" w:rsidR="001451EB" w:rsidRDefault="001451EB" w:rsidP="001451EB">
      <w:pPr>
        <w:ind w:left="1276"/>
        <w:rPr>
          <w:rFonts w:cs="Arial"/>
          <w:szCs w:val="24"/>
        </w:rPr>
      </w:pPr>
    </w:p>
    <w:p w14:paraId="0C9E0122" w14:textId="77777777" w:rsidR="002B79C2" w:rsidRDefault="002B79C2" w:rsidP="001451EB">
      <w:pPr>
        <w:ind w:left="1276"/>
        <w:rPr>
          <w:rFonts w:cs="Arial"/>
          <w:szCs w:val="24"/>
        </w:rPr>
      </w:pPr>
      <w:r w:rsidRPr="002B79C2">
        <w:rPr>
          <w:rFonts w:cs="Arial"/>
          <w:szCs w:val="24"/>
        </w:rPr>
        <w:t xml:space="preserve">These discretions were approved as formal policy of the </w:t>
      </w:r>
      <w:r w:rsidR="000E48ED">
        <w:rPr>
          <w:rFonts w:cs="Arial"/>
          <w:szCs w:val="24"/>
        </w:rPr>
        <w:t>Council</w:t>
      </w:r>
      <w:r w:rsidRPr="002B79C2">
        <w:rPr>
          <w:rFonts w:cs="Arial"/>
          <w:szCs w:val="24"/>
        </w:rPr>
        <w:t xml:space="preserve"> by the Appointments and Conditions of Service Committee in March 2015</w:t>
      </w:r>
      <w:r w:rsidR="006B44B1">
        <w:rPr>
          <w:rFonts w:cs="Arial"/>
          <w:szCs w:val="24"/>
        </w:rPr>
        <w:t xml:space="preserve"> and updated by the committee in 2019</w:t>
      </w:r>
      <w:r w:rsidRPr="002B79C2">
        <w:rPr>
          <w:rFonts w:cs="Arial"/>
          <w:szCs w:val="24"/>
        </w:rPr>
        <w:t xml:space="preserve">.  In accordance with legal requirement the policy statements have been drafted to balance financial, business and employee needs and public interest as well as </w:t>
      </w:r>
      <w:proofErr w:type="gramStart"/>
      <w:r w:rsidRPr="002B79C2">
        <w:rPr>
          <w:rFonts w:cs="Arial"/>
          <w:szCs w:val="24"/>
        </w:rPr>
        <w:t>taking into account</w:t>
      </w:r>
      <w:proofErr w:type="gramEnd"/>
      <w:r w:rsidRPr="002B79C2">
        <w:rPr>
          <w:rFonts w:cs="Arial"/>
          <w:szCs w:val="24"/>
        </w:rPr>
        <w:t xml:space="preserve"> the general principle that no policy statement can unduly fetter the employer’s ability to make decisions.</w:t>
      </w:r>
    </w:p>
    <w:p w14:paraId="249E3052" w14:textId="77777777" w:rsidR="002B79C2" w:rsidRDefault="002B79C2" w:rsidP="00540ECE">
      <w:pPr>
        <w:ind w:left="1276" w:hanging="850"/>
        <w:rPr>
          <w:rFonts w:cs="Arial"/>
          <w:szCs w:val="24"/>
        </w:rPr>
      </w:pPr>
    </w:p>
    <w:p w14:paraId="63B091C1" w14:textId="77777777" w:rsidR="00996F0B" w:rsidRDefault="00996F0B" w:rsidP="00D32888">
      <w:pPr>
        <w:numPr>
          <w:ilvl w:val="2"/>
          <w:numId w:val="15"/>
        </w:numPr>
        <w:ind w:left="1276" w:hanging="850"/>
        <w:rPr>
          <w:rFonts w:cs="Arial"/>
          <w:szCs w:val="24"/>
        </w:rPr>
      </w:pPr>
      <w:r w:rsidRPr="00AB1E25">
        <w:rPr>
          <w:bCs/>
        </w:rPr>
        <w:t xml:space="preserve">From 1 April 2017 all overtime (voluntary), stand-by and call out payments </w:t>
      </w:r>
      <w:r w:rsidR="00AD5512">
        <w:rPr>
          <w:bCs/>
        </w:rPr>
        <w:t xml:space="preserve">are </w:t>
      </w:r>
      <w:r w:rsidRPr="00AB1E25">
        <w:rPr>
          <w:bCs/>
        </w:rPr>
        <w:t>enhanced</w:t>
      </w:r>
      <w:r>
        <w:rPr>
          <w:bCs/>
        </w:rPr>
        <w:t xml:space="preserve"> by 7.69%</w:t>
      </w:r>
      <w:r w:rsidRPr="00AB1E25">
        <w:rPr>
          <w:bCs/>
        </w:rPr>
        <w:t xml:space="preserve"> to reflect the need to recognise an average of these payments for a </w:t>
      </w:r>
      <w:proofErr w:type="gramStart"/>
      <w:r w:rsidRPr="00AB1E25">
        <w:rPr>
          <w:bCs/>
        </w:rPr>
        <w:t>four week</w:t>
      </w:r>
      <w:proofErr w:type="gramEnd"/>
      <w:r w:rsidRPr="00AB1E25">
        <w:rPr>
          <w:bCs/>
        </w:rPr>
        <w:t xml:space="preserve"> holiday period each year</w:t>
      </w:r>
      <w:r w:rsidR="00AD5512">
        <w:rPr>
          <w:bCs/>
        </w:rPr>
        <w:t xml:space="preserve"> (the period for which “normal pay” needs to be maintained)</w:t>
      </w:r>
      <w:r w:rsidRPr="00AB1E25">
        <w:rPr>
          <w:bCs/>
        </w:rPr>
        <w:t>. Any contractual overtime will be recognised as normal pay for the purpose of all holidays taken.</w:t>
      </w:r>
    </w:p>
    <w:p w14:paraId="07D47C66" w14:textId="77777777" w:rsidR="00DD68CD" w:rsidRPr="007F7114" w:rsidRDefault="00DD68CD" w:rsidP="00540ECE">
      <w:pPr>
        <w:ind w:left="1276" w:hanging="850"/>
        <w:rPr>
          <w:rFonts w:cs="Arial"/>
          <w:szCs w:val="24"/>
        </w:rPr>
      </w:pPr>
    </w:p>
    <w:p w14:paraId="7DB4FC04" w14:textId="77777777" w:rsidR="0030539D" w:rsidRDefault="00C2022D" w:rsidP="00D32888">
      <w:pPr>
        <w:numPr>
          <w:ilvl w:val="2"/>
          <w:numId w:val="15"/>
        </w:numPr>
        <w:ind w:left="1276" w:hanging="850"/>
        <w:rPr>
          <w:rFonts w:cs="Arial"/>
          <w:szCs w:val="24"/>
        </w:rPr>
      </w:pPr>
      <w:r>
        <w:rPr>
          <w:rFonts w:cs="Arial"/>
          <w:szCs w:val="24"/>
        </w:rPr>
        <w:t>As required by the Transparency Code, s</w:t>
      </w:r>
      <w:r w:rsidR="0030539D">
        <w:rPr>
          <w:rFonts w:cs="Arial"/>
          <w:szCs w:val="24"/>
        </w:rPr>
        <w:t>tructure diagrams of the Council showing all posts, including vacant posts, and pay bands are maintained on the Council’s website</w:t>
      </w:r>
      <w:r>
        <w:rPr>
          <w:rFonts w:cs="Arial"/>
          <w:szCs w:val="24"/>
        </w:rPr>
        <w:t xml:space="preserve"> together with contact details for Chief Officers. </w:t>
      </w:r>
    </w:p>
    <w:p w14:paraId="233510AD" w14:textId="77777777" w:rsidR="00C2022D" w:rsidRPr="001916C9" w:rsidRDefault="00C2022D" w:rsidP="00540ECE">
      <w:pPr>
        <w:ind w:left="1276" w:hanging="850"/>
        <w:rPr>
          <w:rFonts w:cs="Arial"/>
          <w:szCs w:val="24"/>
        </w:rPr>
      </w:pPr>
    </w:p>
    <w:p w14:paraId="45CD93FD" w14:textId="77777777" w:rsidR="00C2022D" w:rsidRPr="003366BC" w:rsidRDefault="00C2022D" w:rsidP="00D32888">
      <w:pPr>
        <w:numPr>
          <w:ilvl w:val="2"/>
          <w:numId w:val="15"/>
        </w:numPr>
        <w:spacing w:after="120"/>
        <w:ind w:left="1276" w:hanging="850"/>
        <w:rPr>
          <w:rFonts w:cs="Arial"/>
          <w:color w:val="000000"/>
          <w:szCs w:val="24"/>
        </w:rPr>
      </w:pPr>
      <w:r w:rsidRPr="003366BC">
        <w:rPr>
          <w:rFonts w:cs="Arial"/>
          <w:szCs w:val="24"/>
        </w:rPr>
        <w:t>The 201</w:t>
      </w:r>
      <w:r w:rsidR="0071249D" w:rsidRPr="003366BC">
        <w:rPr>
          <w:rFonts w:cs="Arial"/>
          <w:szCs w:val="24"/>
        </w:rPr>
        <w:t>5</w:t>
      </w:r>
      <w:r w:rsidRPr="003366BC">
        <w:rPr>
          <w:rFonts w:cs="Arial"/>
          <w:szCs w:val="24"/>
        </w:rPr>
        <w:t xml:space="preserve"> Transparency Code require</w:t>
      </w:r>
      <w:r w:rsidR="00610567" w:rsidRPr="003366BC">
        <w:rPr>
          <w:rFonts w:cs="Arial"/>
          <w:szCs w:val="24"/>
        </w:rPr>
        <w:t>d</w:t>
      </w:r>
      <w:r w:rsidRPr="003366BC">
        <w:rPr>
          <w:rFonts w:cs="Arial"/>
          <w:szCs w:val="24"/>
        </w:rPr>
        <w:t xml:space="preserve"> information about trade union facility time to be published</w:t>
      </w:r>
      <w:r w:rsidR="00610567" w:rsidRPr="003366BC">
        <w:rPr>
          <w:rFonts w:cs="Arial"/>
          <w:szCs w:val="24"/>
        </w:rPr>
        <w:t xml:space="preserve"> and this requirement</w:t>
      </w:r>
      <w:r w:rsidR="0089048B" w:rsidRPr="003366BC">
        <w:rPr>
          <w:rFonts w:cs="Arial"/>
          <w:color w:val="000000"/>
          <w:szCs w:val="24"/>
          <w:lang w:val="en" w:eastAsia="en-GB"/>
        </w:rPr>
        <w:t xml:space="preserve"> has subsequently be</w:t>
      </w:r>
      <w:r w:rsidR="00725DB9" w:rsidRPr="003366BC">
        <w:rPr>
          <w:rFonts w:cs="Arial"/>
          <w:color w:val="000000"/>
          <w:szCs w:val="24"/>
          <w:lang w:val="en" w:eastAsia="en-GB"/>
        </w:rPr>
        <w:t>e</w:t>
      </w:r>
      <w:r w:rsidR="0089048B" w:rsidRPr="003366BC">
        <w:rPr>
          <w:rFonts w:cs="Arial"/>
          <w:color w:val="000000"/>
          <w:szCs w:val="24"/>
          <w:lang w:val="en" w:eastAsia="en-GB"/>
        </w:rPr>
        <w:t>n extended by the Trade Union (Facility Time Publication Requirements) Regulations 2017</w:t>
      </w:r>
      <w:r w:rsidRPr="003366BC">
        <w:rPr>
          <w:rFonts w:cs="Arial"/>
          <w:szCs w:val="24"/>
        </w:rPr>
        <w:t xml:space="preserve">.  This is the amount of time that is allowed by the organisation for the representatives of the recognised trade unions to participate in approved union </w:t>
      </w:r>
      <w:r w:rsidRPr="003366BC">
        <w:rPr>
          <w:rFonts w:cs="Arial"/>
          <w:color w:val="000000"/>
          <w:szCs w:val="24"/>
        </w:rPr>
        <w:t xml:space="preserve">activities.  For this </w:t>
      </w:r>
      <w:r w:rsidR="000E48ED" w:rsidRPr="003366BC">
        <w:rPr>
          <w:rFonts w:cs="Arial"/>
          <w:color w:val="000000"/>
          <w:szCs w:val="24"/>
        </w:rPr>
        <w:t>Council</w:t>
      </w:r>
      <w:r w:rsidRPr="003366BC">
        <w:rPr>
          <w:rFonts w:cs="Arial"/>
          <w:color w:val="000000"/>
          <w:szCs w:val="24"/>
        </w:rPr>
        <w:t xml:space="preserve"> the </w:t>
      </w:r>
      <w:r w:rsidR="00A26CBD" w:rsidRPr="003366BC">
        <w:rPr>
          <w:rFonts w:cs="Arial"/>
          <w:color w:val="000000"/>
          <w:szCs w:val="24"/>
        </w:rPr>
        <w:t>information is as fol</w:t>
      </w:r>
      <w:r w:rsidR="005953E9" w:rsidRPr="003366BC">
        <w:rPr>
          <w:rFonts w:cs="Arial"/>
          <w:color w:val="000000"/>
          <w:szCs w:val="24"/>
        </w:rPr>
        <w:t>l</w:t>
      </w:r>
      <w:r w:rsidR="00A26CBD" w:rsidRPr="003366BC">
        <w:rPr>
          <w:rFonts w:cs="Arial"/>
          <w:color w:val="000000"/>
          <w:szCs w:val="24"/>
        </w:rPr>
        <w:t>ows:</w:t>
      </w:r>
    </w:p>
    <w:p w14:paraId="7AB33443" w14:textId="37DC5371" w:rsidR="00A26CBD" w:rsidRPr="00762F24" w:rsidRDefault="00A26CBD" w:rsidP="00D32888">
      <w:pPr>
        <w:numPr>
          <w:ilvl w:val="3"/>
          <w:numId w:val="15"/>
        </w:numPr>
        <w:ind w:left="1843" w:hanging="992"/>
        <w:rPr>
          <w:rFonts w:cs="Arial"/>
          <w:color w:val="000000"/>
          <w:szCs w:val="24"/>
        </w:rPr>
      </w:pPr>
      <w:r w:rsidRPr="00762F24">
        <w:rPr>
          <w:rFonts w:cs="Arial"/>
          <w:color w:val="000000"/>
          <w:szCs w:val="24"/>
        </w:rPr>
        <w:t xml:space="preserve">There are </w:t>
      </w:r>
      <w:r w:rsidR="005C6B51">
        <w:rPr>
          <w:rFonts w:cs="Arial"/>
          <w:color w:val="000000"/>
          <w:szCs w:val="24"/>
        </w:rPr>
        <w:t>10</w:t>
      </w:r>
      <w:r w:rsidR="006B44B1">
        <w:rPr>
          <w:rFonts w:cs="Arial"/>
          <w:color w:val="000000"/>
          <w:szCs w:val="24"/>
        </w:rPr>
        <w:t xml:space="preserve"> </w:t>
      </w:r>
      <w:r w:rsidRPr="00762F24">
        <w:rPr>
          <w:rFonts w:cs="Arial"/>
          <w:color w:val="000000"/>
          <w:szCs w:val="24"/>
        </w:rPr>
        <w:t xml:space="preserve">staff </w:t>
      </w:r>
      <w:r w:rsidR="00671CD6" w:rsidRPr="00762F24">
        <w:rPr>
          <w:rFonts w:cs="Arial"/>
          <w:color w:val="000000"/>
          <w:szCs w:val="24"/>
        </w:rPr>
        <w:t>that</w:t>
      </w:r>
      <w:r w:rsidRPr="00762F24">
        <w:rPr>
          <w:rFonts w:cs="Arial"/>
          <w:color w:val="000000"/>
          <w:szCs w:val="24"/>
        </w:rPr>
        <w:t xml:space="preserve"> are recognised as representatives (the Executive).  This equates to </w:t>
      </w:r>
      <w:r w:rsidR="005C6B51">
        <w:rPr>
          <w:rFonts w:cs="Arial"/>
          <w:color w:val="000000"/>
          <w:szCs w:val="24"/>
        </w:rPr>
        <w:t>9</w:t>
      </w:r>
      <w:r w:rsidR="00A93AB5">
        <w:rPr>
          <w:rFonts w:cs="Arial"/>
          <w:color w:val="000000"/>
          <w:szCs w:val="24"/>
        </w:rPr>
        <w:t>.22</w:t>
      </w:r>
      <w:r w:rsidRPr="00762F24">
        <w:rPr>
          <w:rFonts w:cs="Arial"/>
          <w:color w:val="000000"/>
          <w:szCs w:val="24"/>
        </w:rPr>
        <w:t xml:space="preserve"> full time equivalents (FTEs). </w:t>
      </w:r>
    </w:p>
    <w:p w14:paraId="47E8E8FF" w14:textId="77777777" w:rsidR="00A26CBD" w:rsidRPr="00762F24" w:rsidRDefault="00A26CBD" w:rsidP="00D32888">
      <w:pPr>
        <w:numPr>
          <w:ilvl w:val="3"/>
          <w:numId w:val="15"/>
        </w:numPr>
        <w:ind w:left="1843" w:hanging="992"/>
        <w:rPr>
          <w:rFonts w:cs="Arial"/>
          <w:color w:val="000000"/>
          <w:szCs w:val="24"/>
        </w:rPr>
      </w:pPr>
      <w:r w:rsidRPr="00762F24">
        <w:rPr>
          <w:rFonts w:cs="Arial"/>
          <w:color w:val="000000"/>
          <w:szCs w:val="24"/>
        </w:rPr>
        <w:t xml:space="preserve">There are no union representatives who devote at least 50% of their time to union duties. </w:t>
      </w:r>
      <w:r w:rsidR="000667C4" w:rsidRPr="00762F24">
        <w:rPr>
          <w:rFonts w:cs="Arial"/>
          <w:color w:val="000000"/>
          <w:szCs w:val="24"/>
        </w:rPr>
        <w:t xml:space="preserve"> The estimated proportion of time spent on trade union facility time is:</w:t>
      </w:r>
    </w:p>
    <w:tbl>
      <w:tblPr>
        <w:tblW w:w="0" w:type="auto"/>
        <w:tblInd w:w="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693"/>
      </w:tblGrid>
      <w:tr w:rsidR="00BF5A37" w:rsidRPr="00762F24" w14:paraId="52DEB733" w14:textId="77777777" w:rsidTr="00762F24">
        <w:tc>
          <w:tcPr>
            <w:tcW w:w="3794" w:type="dxa"/>
            <w:shd w:val="clear" w:color="auto" w:fill="auto"/>
          </w:tcPr>
          <w:p w14:paraId="4D3F65D0" w14:textId="77777777" w:rsidR="000667C4" w:rsidRPr="00762F24" w:rsidRDefault="000667C4" w:rsidP="000667C4">
            <w:pPr>
              <w:rPr>
                <w:rFonts w:cs="Arial"/>
                <w:color w:val="000000"/>
                <w:szCs w:val="24"/>
              </w:rPr>
            </w:pPr>
            <w:r w:rsidRPr="00762F24">
              <w:rPr>
                <w:rFonts w:cs="Arial"/>
                <w:color w:val="000000"/>
                <w:szCs w:val="24"/>
              </w:rPr>
              <w:t>Proportion of time</w:t>
            </w:r>
          </w:p>
        </w:tc>
        <w:tc>
          <w:tcPr>
            <w:tcW w:w="2693" w:type="dxa"/>
            <w:shd w:val="clear" w:color="auto" w:fill="auto"/>
          </w:tcPr>
          <w:p w14:paraId="1431BAFA" w14:textId="77777777" w:rsidR="000667C4" w:rsidRPr="00762F24" w:rsidRDefault="000667C4" w:rsidP="000667C4">
            <w:pPr>
              <w:rPr>
                <w:rFonts w:cs="Arial"/>
                <w:color w:val="000000"/>
                <w:szCs w:val="24"/>
              </w:rPr>
            </w:pPr>
            <w:r w:rsidRPr="00762F24">
              <w:rPr>
                <w:rFonts w:cs="Arial"/>
                <w:color w:val="000000"/>
                <w:szCs w:val="24"/>
              </w:rPr>
              <w:t>Number of union Reps</w:t>
            </w:r>
          </w:p>
        </w:tc>
      </w:tr>
      <w:tr w:rsidR="00BF5A37" w:rsidRPr="00762F24" w14:paraId="5A00FB4C" w14:textId="77777777" w:rsidTr="00762F24">
        <w:tc>
          <w:tcPr>
            <w:tcW w:w="3794" w:type="dxa"/>
            <w:shd w:val="clear" w:color="auto" w:fill="auto"/>
          </w:tcPr>
          <w:p w14:paraId="45270A13" w14:textId="77777777" w:rsidR="000667C4" w:rsidRPr="00762F24" w:rsidRDefault="000667C4" w:rsidP="000667C4">
            <w:pPr>
              <w:rPr>
                <w:rFonts w:cs="Arial"/>
                <w:color w:val="000000"/>
                <w:szCs w:val="24"/>
              </w:rPr>
            </w:pPr>
            <w:r w:rsidRPr="00762F24">
              <w:rPr>
                <w:rFonts w:cs="Arial"/>
                <w:color w:val="000000"/>
                <w:szCs w:val="24"/>
              </w:rPr>
              <w:t>0% (less than 1%)</w:t>
            </w:r>
          </w:p>
        </w:tc>
        <w:tc>
          <w:tcPr>
            <w:tcW w:w="2693" w:type="dxa"/>
            <w:shd w:val="clear" w:color="auto" w:fill="auto"/>
          </w:tcPr>
          <w:p w14:paraId="05BA5FFC" w14:textId="77777777" w:rsidR="000667C4" w:rsidRPr="00762F24" w:rsidRDefault="0027577E" w:rsidP="00762F24">
            <w:pPr>
              <w:jc w:val="center"/>
              <w:rPr>
                <w:rFonts w:cs="Arial"/>
                <w:color w:val="000000"/>
                <w:szCs w:val="24"/>
              </w:rPr>
            </w:pPr>
            <w:r w:rsidRPr="00762F24">
              <w:rPr>
                <w:rFonts w:cs="Arial"/>
                <w:color w:val="000000"/>
                <w:szCs w:val="24"/>
              </w:rPr>
              <w:t>0</w:t>
            </w:r>
          </w:p>
        </w:tc>
      </w:tr>
      <w:tr w:rsidR="00BF5A37" w:rsidRPr="00762F24" w14:paraId="6E8A2150" w14:textId="77777777" w:rsidTr="00762F24">
        <w:tc>
          <w:tcPr>
            <w:tcW w:w="3794" w:type="dxa"/>
            <w:shd w:val="clear" w:color="auto" w:fill="auto"/>
          </w:tcPr>
          <w:p w14:paraId="72B567A6" w14:textId="77777777" w:rsidR="000667C4" w:rsidRPr="00762F24" w:rsidRDefault="000667C4" w:rsidP="000667C4">
            <w:pPr>
              <w:rPr>
                <w:rFonts w:cs="Arial"/>
                <w:color w:val="000000"/>
                <w:szCs w:val="24"/>
              </w:rPr>
            </w:pPr>
            <w:r w:rsidRPr="00762F24">
              <w:rPr>
                <w:rFonts w:cs="Arial"/>
                <w:color w:val="000000"/>
                <w:szCs w:val="24"/>
              </w:rPr>
              <w:t>1- 50%</w:t>
            </w:r>
          </w:p>
        </w:tc>
        <w:tc>
          <w:tcPr>
            <w:tcW w:w="2693" w:type="dxa"/>
            <w:shd w:val="clear" w:color="auto" w:fill="auto"/>
          </w:tcPr>
          <w:p w14:paraId="345651BA" w14:textId="30A0D6DB" w:rsidR="000667C4" w:rsidRPr="00762F24" w:rsidRDefault="005C6B51" w:rsidP="00D76655">
            <w:pPr>
              <w:jc w:val="center"/>
              <w:rPr>
                <w:rFonts w:cs="Arial"/>
                <w:color w:val="000000"/>
                <w:szCs w:val="24"/>
              </w:rPr>
            </w:pPr>
            <w:r>
              <w:rPr>
                <w:rFonts w:cs="Arial"/>
                <w:color w:val="000000"/>
                <w:szCs w:val="24"/>
              </w:rPr>
              <w:t>10</w:t>
            </w:r>
          </w:p>
        </w:tc>
      </w:tr>
      <w:tr w:rsidR="00BF5A37" w:rsidRPr="00762F24" w14:paraId="212D759B" w14:textId="77777777" w:rsidTr="00762F24">
        <w:tc>
          <w:tcPr>
            <w:tcW w:w="3794" w:type="dxa"/>
            <w:shd w:val="clear" w:color="auto" w:fill="auto"/>
          </w:tcPr>
          <w:p w14:paraId="442CE49C" w14:textId="77777777" w:rsidR="000667C4" w:rsidRPr="00762F24" w:rsidRDefault="000667C4" w:rsidP="000667C4">
            <w:pPr>
              <w:rPr>
                <w:rFonts w:cs="Arial"/>
                <w:color w:val="000000"/>
                <w:szCs w:val="24"/>
              </w:rPr>
            </w:pPr>
            <w:r w:rsidRPr="00762F24">
              <w:rPr>
                <w:rFonts w:cs="Arial"/>
                <w:color w:val="000000"/>
                <w:szCs w:val="24"/>
              </w:rPr>
              <w:t>51-99%</w:t>
            </w:r>
          </w:p>
        </w:tc>
        <w:tc>
          <w:tcPr>
            <w:tcW w:w="2693" w:type="dxa"/>
            <w:shd w:val="clear" w:color="auto" w:fill="auto"/>
          </w:tcPr>
          <w:p w14:paraId="094B19E7" w14:textId="77777777" w:rsidR="000667C4" w:rsidRPr="00762F24" w:rsidRDefault="000667C4" w:rsidP="00762F24">
            <w:pPr>
              <w:jc w:val="center"/>
              <w:rPr>
                <w:rFonts w:cs="Arial"/>
                <w:color w:val="000000"/>
                <w:szCs w:val="24"/>
              </w:rPr>
            </w:pPr>
            <w:r w:rsidRPr="00762F24">
              <w:rPr>
                <w:rFonts w:cs="Arial"/>
                <w:color w:val="000000"/>
                <w:szCs w:val="24"/>
              </w:rPr>
              <w:t>0</w:t>
            </w:r>
          </w:p>
        </w:tc>
      </w:tr>
      <w:tr w:rsidR="00BF5A37" w:rsidRPr="00762F24" w14:paraId="32D1BCBC" w14:textId="77777777" w:rsidTr="00762F24">
        <w:tc>
          <w:tcPr>
            <w:tcW w:w="3794" w:type="dxa"/>
            <w:shd w:val="clear" w:color="auto" w:fill="auto"/>
          </w:tcPr>
          <w:p w14:paraId="6805881C" w14:textId="77777777" w:rsidR="000667C4" w:rsidRPr="00762F24" w:rsidRDefault="000667C4" w:rsidP="000667C4">
            <w:pPr>
              <w:rPr>
                <w:rFonts w:cs="Arial"/>
                <w:color w:val="000000"/>
                <w:szCs w:val="24"/>
              </w:rPr>
            </w:pPr>
            <w:r w:rsidRPr="00762F24">
              <w:rPr>
                <w:rFonts w:cs="Arial"/>
                <w:color w:val="000000"/>
                <w:szCs w:val="24"/>
              </w:rPr>
              <w:t>100%</w:t>
            </w:r>
          </w:p>
        </w:tc>
        <w:tc>
          <w:tcPr>
            <w:tcW w:w="2693" w:type="dxa"/>
            <w:shd w:val="clear" w:color="auto" w:fill="auto"/>
          </w:tcPr>
          <w:p w14:paraId="37437AFB" w14:textId="77777777" w:rsidR="000667C4" w:rsidRPr="00762F24" w:rsidRDefault="000667C4" w:rsidP="00762F24">
            <w:pPr>
              <w:jc w:val="center"/>
              <w:rPr>
                <w:rFonts w:cs="Arial"/>
                <w:color w:val="000000"/>
                <w:szCs w:val="24"/>
              </w:rPr>
            </w:pPr>
            <w:r w:rsidRPr="00762F24">
              <w:rPr>
                <w:rFonts w:cs="Arial"/>
                <w:color w:val="000000"/>
                <w:szCs w:val="24"/>
              </w:rPr>
              <w:t>0</w:t>
            </w:r>
          </w:p>
        </w:tc>
      </w:tr>
    </w:tbl>
    <w:p w14:paraId="33425210" w14:textId="77777777" w:rsidR="000667C4" w:rsidRPr="00762F24" w:rsidRDefault="000667C4" w:rsidP="000667C4">
      <w:pPr>
        <w:ind w:left="1843"/>
        <w:rPr>
          <w:rFonts w:cs="Arial"/>
          <w:color w:val="000000"/>
          <w:szCs w:val="24"/>
        </w:rPr>
      </w:pPr>
    </w:p>
    <w:p w14:paraId="1252FA85" w14:textId="77777777" w:rsidR="0027577E" w:rsidRPr="00762F24" w:rsidRDefault="0027577E" w:rsidP="000667C4">
      <w:pPr>
        <w:ind w:left="1843"/>
        <w:rPr>
          <w:rFonts w:cs="Arial"/>
          <w:color w:val="000000"/>
          <w:szCs w:val="24"/>
        </w:rPr>
      </w:pPr>
    </w:p>
    <w:p w14:paraId="14617777" w14:textId="77777777" w:rsidR="00A93AB5" w:rsidRDefault="00A93AB5" w:rsidP="00A93AB5">
      <w:pPr>
        <w:autoSpaceDE w:val="0"/>
        <w:autoSpaceDN w:val="0"/>
        <w:adjustRightInd w:val="0"/>
        <w:rPr>
          <w:rFonts w:cs="Arial"/>
          <w:szCs w:val="24"/>
          <w:lang w:val="en" w:eastAsia="en-GB"/>
        </w:rPr>
      </w:pPr>
    </w:p>
    <w:p w14:paraId="7A30DE14" w14:textId="77777777" w:rsidR="0027577E" w:rsidRPr="00762F24" w:rsidRDefault="0027577E" w:rsidP="000667C4">
      <w:pPr>
        <w:ind w:left="1843"/>
        <w:rPr>
          <w:rFonts w:cs="Arial"/>
          <w:color w:val="000000"/>
          <w:szCs w:val="24"/>
        </w:rPr>
      </w:pPr>
    </w:p>
    <w:p w14:paraId="3FC49AE7" w14:textId="2CC2EB7F" w:rsidR="00A26CBD" w:rsidRPr="00762F24" w:rsidRDefault="00A26CBD" w:rsidP="00D32888">
      <w:pPr>
        <w:numPr>
          <w:ilvl w:val="3"/>
          <w:numId w:val="15"/>
        </w:numPr>
        <w:ind w:left="1843" w:hanging="992"/>
        <w:rPr>
          <w:rFonts w:cs="Arial"/>
          <w:color w:val="000000"/>
          <w:szCs w:val="24"/>
        </w:rPr>
      </w:pPr>
      <w:r w:rsidRPr="00762F24">
        <w:rPr>
          <w:rFonts w:cs="Arial"/>
          <w:color w:val="000000"/>
          <w:szCs w:val="24"/>
        </w:rPr>
        <w:t>It is estimated that the total salary cost of union representatives undertaking union duties</w:t>
      </w:r>
      <w:r w:rsidR="00091F35" w:rsidRPr="00762F24">
        <w:rPr>
          <w:rFonts w:cs="Arial"/>
          <w:color w:val="000000"/>
          <w:szCs w:val="24"/>
        </w:rPr>
        <w:t xml:space="preserve"> and activities</w:t>
      </w:r>
      <w:r w:rsidRPr="00762F24">
        <w:rPr>
          <w:rFonts w:cs="Arial"/>
          <w:color w:val="000000"/>
          <w:szCs w:val="24"/>
        </w:rPr>
        <w:t xml:space="preserve"> over a year is </w:t>
      </w:r>
      <w:r w:rsidR="00322E9F" w:rsidRPr="00762F24">
        <w:rPr>
          <w:color w:val="000000"/>
        </w:rPr>
        <w:t>£</w:t>
      </w:r>
      <w:r w:rsidR="00A93AB5">
        <w:rPr>
          <w:color w:val="000000"/>
        </w:rPr>
        <w:t>11,0</w:t>
      </w:r>
      <w:r w:rsidR="005C6B51">
        <w:rPr>
          <w:color w:val="000000"/>
        </w:rPr>
        <w:t>28</w:t>
      </w:r>
      <w:r w:rsidR="00091F35" w:rsidRPr="00762F24">
        <w:rPr>
          <w:color w:val="000000"/>
        </w:rPr>
        <w:t xml:space="preserve">. </w:t>
      </w:r>
      <w:r w:rsidR="00BF5A37" w:rsidRPr="00762F24">
        <w:rPr>
          <w:color w:val="000000"/>
        </w:rPr>
        <w:t xml:space="preserve"> </w:t>
      </w:r>
      <w:r w:rsidR="00876FED">
        <w:rPr>
          <w:color w:val="000000"/>
        </w:rPr>
        <w:t xml:space="preserve">The percentage of </w:t>
      </w:r>
      <w:r w:rsidR="00A75359">
        <w:rPr>
          <w:color w:val="000000"/>
        </w:rPr>
        <w:t xml:space="preserve">all </w:t>
      </w:r>
      <w:r w:rsidR="00876FED">
        <w:rPr>
          <w:color w:val="000000"/>
        </w:rPr>
        <w:t>pay spent on facility time is 0.</w:t>
      </w:r>
      <w:r w:rsidR="005C6B51">
        <w:rPr>
          <w:color w:val="000000"/>
        </w:rPr>
        <w:t>12</w:t>
      </w:r>
      <w:r w:rsidR="00876FED">
        <w:rPr>
          <w:color w:val="000000"/>
        </w:rPr>
        <w:t xml:space="preserve">% and </w:t>
      </w:r>
      <w:r w:rsidR="005C6B51">
        <w:rPr>
          <w:color w:val="000000"/>
        </w:rPr>
        <w:t>6.11%</w:t>
      </w:r>
      <w:r w:rsidR="00876FED">
        <w:rPr>
          <w:color w:val="000000"/>
        </w:rPr>
        <w:t xml:space="preserve"> of all union time is taken up on trade union activities. </w:t>
      </w:r>
      <w:r w:rsidR="00A75359">
        <w:rPr>
          <w:color w:val="000000"/>
        </w:rPr>
        <w:t>This is the data reported on the government’s website.</w:t>
      </w:r>
    </w:p>
    <w:p w14:paraId="747770A6" w14:textId="77777777" w:rsidR="00091F35" w:rsidRPr="00762F24" w:rsidRDefault="00091F35" w:rsidP="00091F35">
      <w:pPr>
        <w:ind w:left="1224"/>
        <w:rPr>
          <w:rFonts w:cs="Arial"/>
          <w:color w:val="000000"/>
          <w:szCs w:val="24"/>
        </w:rPr>
      </w:pPr>
    </w:p>
    <w:p w14:paraId="25297D41" w14:textId="77777777" w:rsidR="00F57A66" w:rsidRDefault="00F57A66" w:rsidP="00D32888">
      <w:pPr>
        <w:numPr>
          <w:ilvl w:val="1"/>
          <w:numId w:val="15"/>
        </w:numPr>
        <w:ind w:left="993" w:hanging="567"/>
        <w:rPr>
          <w:rFonts w:cs="Arial"/>
          <w:color w:val="000000"/>
          <w:szCs w:val="24"/>
        </w:rPr>
      </w:pPr>
      <w:r w:rsidRPr="00440298">
        <w:rPr>
          <w:rFonts w:cs="Arial"/>
          <w:color w:val="000000"/>
          <w:szCs w:val="24"/>
        </w:rPr>
        <w:t xml:space="preserve">This Pay Policy Statement </w:t>
      </w:r>
      <w:r w:rsidR="00572FC3" w:rsidRPr="00440298">
        <w:rPr>
          <w:rFonts w:cs="Arial"/>
          <w:color w:val="000000"/>
          <w:szCs w:val="24"/>
        </w:rPr>
        <w:t>is published on the Council’s website.</w:t>
      </w:r>
    </w:p>
    <w:p w14:paraId="43B6DE49" w14:textId="77777777" w:rsidR="00A26CA8" w:rsidRPr="00440298" w:rsidRDefault="00A26CA8" w:rsidP="00A26CA8">
      <w:pPr>
        <w:ind w:left="993"/>
        <w:rPr>
          <w:rFonts w:cs="Arial"/>
          <w:color w:val="000000"/>
          <w:szCs w:val="24"/>
        </w:rPr>
      </w:pPr>
    </w:p>
    <w:p w14:paraId="597A6EC9" w14:textId="77777777" w:rsidR="00522C4C" w:rsidRPr="005C51FA" w:rsidRDefault="00A12001" w:rsidP="00D32888">
      <w:pPr>
        <w:numPr>
          <w:ilvl w:val="0"/>
          <w:numId w:val="5"/>
        </w:numPr>
        <w:rPr>
          <w:rFonts w:cs="Arial"/>
          <w:b/>
          <w:color w:val="000000"/>
          <w:szCs w:val="24"/>
        </w:rPr>
      </w:pPr>
      <w:r w:rsidRPr="005C51FA">
        <w:rPr>
          <w:rFonts w:cs="Arial"/>
          <w:b/>
          <w:color w:val="000000"/>
          <w:szCs w:val="24"/>
        </w:rPr>
        <w:t>Other s</w:t>
      </w:r>
      <w:r w:rsidR="002D3990" w:rsidRPr="005C51FA">
        <w:rPr>
          <w:rFonts w:cs="Arial"/>
          <w:b/>
          <w:color w:val="000000"/>
          <w:szCs w:val="24"/>
        </w:rPr>
        <w:t xml:space="preserve">pecific </w:t>
      </w:r>
      <w:r w:rsidRPr="005C51FA">
        <w:rPr>
          <w:rFonts w:cs="Arial"/>
          <w:b/>
          <w:color w:val="000000"/>
          <w:szCs w:val="24"/>
        </w:rPr>
        <w:t>r</w:t>
      </w:r>
      <w:r w:rsidR="002D3990" w:rsidRPr="005C51FA">
        <w:rPr>
          <w:rFonts w:cs="Arial"/>
          <w:b/>
          <w:color w:val="000000"/>
          <w:szCs w:val="24"/>
        </w:rPr>
        <w:t xml:space="preserve">eportable </w:t>
      </w:r>
      <w:r w:rsidRPr="005C51FA">
        <w:rPr>
          <w:rFonts w:cs="Arial"/>
          <w:b/>
          <w:color w:val="000000"/>
          <w:szCs w:val="24"/>
        </w:rPr>
        <w:t>i</w:t>
      </w:r>
      <w:r w:rsidR="002D3990" w:rsidRPr="005C51FA">
        <w:rPr>
          <w:rFonts w:cs="Arial"/>
          <w:b/>
          <w:color w:val="000000"/>
          <w:szCs w:val="24"/>
        </w:rPr>
        <w:t xml:space="preserve">ssues as </w:t>
      </w:r>
      <w:r w:rsidRPr="005C51FA">
        <w:rPr>
          <w:rFonts w:cs="Arial"/>
          <w:b/>
          <w:color w:val="000000"/>
          <w:szCs w:val="24"/>
        </w:rPr>
        <w:t>d</w:t>
      </w:r>
      <w:r w:rsidR="002D3990" w:rsidRPr="005C51FA">
        <w:rPr>
          <w:rFonts w:cs="Arial"/>
          <w:b/>
          <w:color w:val="000000"/>
          <w:szCs w:val="24"/>
        </w:rPr>
        <w:t xml:space="preserve">efined in the Localism Act </w:t>
      </w:r>
    </w:p>
    <w:p w14:paraId="48F8EDCF" w14:textId="77777777" w:rsidR="002D3990" w:rsidRPr="00F249C2" w:rsidRDefault="002D3990" w:rsidP="0087507E">
      <w:pPr>
        <w:ind w:left="360"/>
        <w:rPr>
          <w:rFonts w:cs="Arial"/>
          <w:b/>
          <w:szCs w:val="24"/>
        </w:rPr>
      </w:pPr>
    </w:p>
    <w:p w14:paraId="10C80168" w14:textId="77777777" w:rsidR="002D3990" w:rsidRDefault="00222CE1" w:rsidP="00D32888">
      <w:pPr>
        <w:numPr>
          <w:ilvl w:val="1"/>
          <w:numId w:val="16"/>
        </w:numPr>
        <w:ind w:left="993" w:hanging="654"/>
        <w:rPr>
          <w:rFonts w:cs="Arial"/>
          <w:b/>
          <w:szCs w:val="24"/>
        </w:rPr>
      </w:pPr>
      <w:r>
        <w:rPr>
          <w:rFonts w:cs="Arial"/>
          <w:b/>
          <w:szCs w:val="24"/>
        </w:rPr>
        <w:t>Chief Officer</w:t>
      </w:r>
      <w:r w:rsidR="00F249C2" w:rsidRPr="00F249C2">
        <w:rPr>
          <w:rFonts w:cs="Arial"/>
          <w:b/>
          <w:szCs w:val="24"/>
        </w:rPr>
        <w:t xml:space="preserve"> </w:t>
      </w:r>
      <w:proofErr w:type="gramStart"/>
      <w:r w:rsidR="00A12001">
        <w:rPr>
          <w:rFonts w:cs="Arial"/>
          <w:b/>
          <w:szCs w:val="24"/>
        </w:rPr>
        <w:t>p</w:t>
      </w:r>
      <w:r w:rsidR="00F249C2" w:rsidRPr="00F249C2">
        <w:rPr>
          <w:rFonts w:cs="Arial"/>
          <w:b/>
          <w:szCs w:val="24"/>
        </w:rPr>
        <w:t>ay</w:t>
      </w:r>
      <w:proofErr w:type="gramEnd"/>
    </w:p>
    <w:p w14:paraId="63EAB923" w14:textId="77777777" w:rsidR="003F2B15" w:rsidRPr="00F249C2" w:rsidRDefault="003F2B15" w:rsidP="0087507E">
      <w:pPr>
        <w:ind w:left="792"/>
        <w:rPr>
          <w:rFonts w:cs="Arial"/>
          <w:b/>
          <w:szCs w:val="24"/>
        </w:rPr>
      </w:pPr>
    </w:p>
    <w:p w14:paraId="3ECD630F" w14:textId="77777777" w:rsidR="00952D26" w:rsidRPr="00784D5F" w:rsidRDefault="00503085" w:rsidP="00D32888">
      <w:pPr>
        <w:numPr>
          <w:ilvl w:val="2"/>
          <w:numId w:val="16"/>
        </w:numPr>
        <w:ind w:left="1418"/>
        <w:rPr>
          <w:rFonts w:cs="Arial"/>
          <w:b/>
          <w:szCs w:val="24"/>
        </w:rPr>
      </w:pPr>
      <w:r>
        <w:rPr>
          <w:rFonts w:cs="Arial"/>
          <w:b/>
          <w:szCs w:val="24"/>
        </w:rPr>
        <w:t>Basic pay</w:t>
      </w:r>
    </w:p>
    <w:p w14:paraId="685E0D24" w14:textId="4CD13A4F" w:rsidR="00F249C2" w:rsidRPr="00952D26" w:rsidRDefault="00952D26" w:rsidP="0087507E">
      <w:pPr>
        <w:ind w:left="709"/>
        <w:rPr>
          <w:rFonts w:cs="Arial"/>
          <w:szCs w:val="24"/>
        </w:rPr>
      </w:pPr>
      <w:r>
        <w:rPr>
          <w:rFonts w:cs="Arial"/>
          <w:szCs w:val="24"/>
        </w:rPr>
        <w:t xml:space="preserve">Pay scales </w:t>
      </w:r>
      <w:r w:rsidR="003F2B15">
        <w:rPr>
          <w:rFonts w:cs="Arial"/>
          <w:szCs w:val="24"/>
        </w:rPr>
        <w:t xml:space="preserve">for </w:t>
      </w:r>
      <w:r w:rsidR="00A93AB5">
        <w:rPr>
          <w:rFonts w:cs="Arial"/>
          <w:szCs w:val="24"/>
        </w:rPr>
        <w:t xml:space="preserve">all </w:t>
      </w:r>
      <w:r w:rsidR="00222CE1">
        <w:rPr>
          <w:rFonts w:cs="Arial"/>
          <w:szCs w:val="24"/>
        </w:rPr>
        <w:t>Chief Officer</w:t>
      </w:r>
      <w:r w:rsidR="003F2B15">
        <w:rPr>
          <w:rFonts w:cs="Arial"/>
          <w:szCs w:val="24"/>
        </w:rPr>
        <w:t xml:space="preserve">s </w:t>
      </w:r>
      <w:r>
        <w:rPr>
          <w:rFonts w:cs="Arial"/>
          <w:szCs w:val="24"/>
        </w:rPr>
        <w:t xml:space="preserve">are shown in the </w:t>
      </w:r>
      <w:r w:rsidR="004E4B98">
        <w:rPr>
          <w:rFonts w:cs="Arial"/>
          <w:szCs w:val="24"/>
        </w:rPr>
        <w:t xml:space="preserve">Executive Summary </w:t>
      </w:r>
      <w:r>
        <w:rPr>
          <w:rFonts w:cs="Arial"/>
          <w:szCs w:val="24"/>
        </w:rPr>
        <w:t>table</w:t>
      </w:r>
      <w:r w:rsidRPr="00952D26">
        <w:rPr>
          <w:rFonts w:cs="Arial"/>
          <w:szCs w:val="24"/>
        </w:rPr>
        <w:t xml:space="preserve">.  These are current </w:t>
      </w:r>
      <w:r w:rsidR="006B6D20">
        <w:rPr>
          <w:rFonts w:cs="Arial"/>
          <w:szCs w:val="24"/>
        </w:rPr>
        <w:t>up to</w:t>
      </w:r>
      <w:r w:rsidRPr="00952D26">
        <w:rPr>
          <w:rFonts w:cs="Arial"/>
          <w:szCs w:val="24"/>
        </w:rPr>
        <w:t xml:space="preserve"> </w:t>
      </w:r>
      <w:r w:rsidR="00260933">
        <w:rPr>
          <w:rFonts w:cs="Arial"/>
          <w:szCs w:val="24"/>
        </w:rPr>
        <w:t xml:space="preserve">30 November </w:t>
      </w:r>
      <w:r w:rsidRPr="00952D26">
        <w:rPr>
          <w:rFonts w:cs="Arial"/>
          <w:szCs w:val="24"/>
        </w:rPr>
        <w:t>20</w:t>
      </w:r>
      <w:r w:rsidR="0060335F">
        <w:rPr>
          <w:rFonts w:cs="Arial"/>
          <w:szCs w:val="24"/>
        </w:rPr>
        <w:t>2</w:t>
      </w:r>
      <w:r w:rsidR="00A93AB5">
        <w:rPr>
          <w:rFonts w:cs="Arial"/>
          <w:szCs w:val="24"/>
        </w:rPr>
        <w:t>3</w:t>
      </w:r>
      <w:r w:rsidRPr="00952D26">
        <w:rPr>
          <w:rFonts w:cs="Arial"/>
          <w:szCs w:val="24"/>
        </w:rPr>
        <w:t>.</w:t>
      </w:r>
    </w:p>
    <w:p w14:paraId="7B2AFDFC" w14:textId="77777777" w:rsidR="00952D26" w:rsidRPr="00952D26" w:rsidRDefault="00952D26" w:rsidP="0087507E">
      <w:pPr>
        <w:ind w:left="1418"/>
        <w:rPr>
          <w:rFonts w:cs="Arial"/>
          <w:szCs w:val="24"/>
        </w:rPr>
      </w:pPr>
      <w:r w:rsidRPr="00952D26">
        <w:rPr>
          <w:rFonts w:cs="Arial"/>
          <w:szCs w:val="24"/>
        </w:rPr>
        <w:t xml:space="preserve"> </w:t>
      </w:r>
    </w:p>
    <w:p w14:paraId="3B5E9991" w14:textId="77777777" w:rsidR="00952D26" w:rsidRPr="00784D5F" w:rsidRDefault="00952D26" w:rsidP="00D32888">
      <w:pPr>
        <w:numPr>
          <w:ilvl w:val="2"/>
          <w:numId w:val="16"/>
        </w:numPr>
        <w:ind w:left="1418" w:hanging="709"/>
        <w:rPr>
          <w:rFonts w:cs="Arial"/>
          <w:b/>
          <w:szCs w:val="24"/>
        </w:rPr>
      </w:pPr>
      <w:r w:rsidRPr="00784D5F">
        <w:rPr>
          <w:rFonts w:cs="Arial"/>
          <w:b/>
          <w:szCs w:val="24"/>
        </w:rPr>
        <w:t xml:space="preserve">The setting of </w:t>
      </w:r>
      <w:r w:rsidR="004D6173" w:rsidRPr="00784D5F">
        <w:rPr>
          <w:rFonts w:cs="Arial"/>
          <w:b/>
          <w:szCs w:val="24"/>
        </w:rPr>
        <w:t xml:space="preserve">basic pay </w:t>
      </w:r>
      <w:r w:rsidR="00503085">
        <w:rPr>
          <w:rFonts w:cs="Arial"/>
          <w:b/>
          <w:szCs w:val="24"/>
        </w:rPr>
        <w:t xml:space="preserve">grades and pay </w:t>
      </w:r>
      <w:proofErr w:type="gramStart"/>
      <w:r w:rsidR="00503085">
        <w:rPr>
          <w:rFonts w:cs="Arial"/>
          <w:b/>
          <w:szCs w:val="24"/>
        </w:rPr>
        <w:t>rates</w:t>
      </w:r>
      <w:proofErr w:type="gramEnd"/>
    </w:p>
    <w:p w14:paraId="3736349B" w14:textId="77777777" w:rsidR="00952D26" w:rsidRDefault="00952D26" w:rsidP="0087507E">
      <w:pPr>
        <w:ind w:left="709"/>
        <w:rPr>
          <w:rFonts w:cs="Arial"/>
          <w:szCs w:val="24"/>
        </w:rPr>
      </w:pPr>
      <w:r>
        <w:rPr>
          <w:rFonts w:cs="Arial"/>
          <w:szCs w:val="24"/>
        </w:rPr>
        <w:t xml:space="preserve">There are </w:t>
      </w:r>
      <w:proofErr w:type="gramStart"/>
      <w:r>
        <w:rPr>
          <w:rFonts w:cs="Arial"/>
          <w:szCs w:val="24"/>
        </w:rPr>
        <w:t>a number of</w:t>
      </w:r>
      <w:proofErr w:type="gramEnd"/>
      <w:r>
        <w:rPr>
          <w:rFonts w:cs="Arial"/>
          <w:szCs w:val="24"/>
        </w:rPr>
        <w:t xml:space="preserve"> existing decisions and policies that determine </w:t>
      </w:r>
      <w:r w:rsidR="00222CE1">
        <w:rPr>
          <w:rFonts w:cs="Arial"/>
          <w:szCs w:val="24"/>
        </w:rPr>
        <w:t>Chief Officer</w:t>
      </w:r>
      <w:r w:rsidR="003F2B15">
        <w:rPr>
          <w:rFonts w:cs="Arial"/>
          <w:szCs w:val="24"/>
        </w:rPr>
        <w:t>s’</w:t>
      </w:r>
      <w:r>
        <w:rPr>
          <w:rFonts w:cs="Arial"/>
          <w:szCs w:val="24"/>
        </w:rPr>
        <w:t xml:space="preserve"> </w:t>
      </w:r>
      <w:r w:rsidR="003F2B15">
        <w:rPr>
          <w:rFonts w:cs="Arial"/>
          <w:szCs w:val="24"/>
        </w:rPr>
        <w:t xml:space="preserve">overall </w:t>
      </w:r>
      <w:r>
        <w:rPr>
          <w:rFonts w:cs="Arial"/>
          <w:szCs w:val="24"/>
        </w:rPr>
        <w:t>pay</w:t>
      </w:r>
      <w:r w:rsidR="003F2B15">
        <w:rPr>
          <w:rFonts w:cs="Arial"/>
          <w:szCs w:val="24"/>
        </w:rPr>
        <w:t xml:space="preserve"> policy</w:t>
      </w:r>
      <w:r>
        <w:rPr>
          <w:rFonts w:cs="Arial"/>
          <w:szCs w:val="24"/>
        </w:rPr>
        <w:t>.</w:t>
      </w:r>
      <w:r w:rsidR="004D6173">
        <w:rPr>
          <w:rFonts w:cs="Arial"/>
          <w:szCs w:val="24"/>
        </w:rPr>
        <w:t xml:space="preserve"> </w:t>
      </w:r>
    </w:p>
    <w:p w14:paraId="358CEB7C" w14:textId="77777777" w:rsidR="00952D26" w:rsidRDefault="00952D26" w:rsidP="00952D26">
      <w:pPr>
        <w:ind w:left="709"/>
        <w:rPr>
          <w:rFonts w:cs="Arial"/>
          <w:szCs w:val="24"/>
        </w:rPr>
      </w:pPr>
    </w:p>
    <w:p w14:paraId="7A32D154" w14:textId="77777777" w:rsidR="004D6173" w:rsidRDefault="00952D26" w:rsidP="004D6173">
      <w:pPr>
        <w:ind w:left="709"/>
      </w:pPr>
      <w:r>
        <w:rPr>
          <w:rFonts w:cs="Arial"/>
          <w:szCs w:val="24"/>
        </w:rPr>
        <w:t>The Chief Executive’s pay</w:t>
      </w:r>
      <w:r w:rsidR="001A57CF">
        <w:rPr>
          <w:rFonts w:cs="Arial"/>
          <w:szCs w:val="24"/>
        </w:rPr>
        <w:t xml:space="preserve"> scale</w:t>
      </w:r>
      <w:r w:rsidR="004D6173">
        <w:rPr>
          <w:rFonts w:cs="Arial"/>
          <w:szCs w:val="24"/>
        </w:rPr>
        <w:t>, and the pay scales for Directors</w:t>
      </w:r>
      <w:r w:rsidR="006C414E">
        <w:rPr>
          <w:rFonts w:cs="Arial"/>
          <w:szCs w:val="24"/>
        </w:rPr>
        <w:t xml:space="preserve"> </w:t>
      </w:r>
      <w:r w:rsidR="005B7A48">
        <w:rPr>
          <w:rFonts w:cs="Arial"/>
          <w:szCs w:val="24"/>
        </w:rPr>
        <w:t>are</w:t>
      </w:r>
      <w:r>
        <w:rPr>
          <w:rFonts w:cs="Arial"/>
          <w:szCs w:val="24"/>
        </w:rPr>
        <w:t xml:space="preserve"> determined locally by the Appointments and Conditions of Service Committee</w:t>
      </w:r>
      <w:r w:rsidR="004D6173">
        <w:rPr>
          <w:rFonts w:cs="Arial"/>
          <w:szCs w:val="24"/>
        </w:rPr>
        <w:t xml:space="preserve"> following formal consultation with recognised unions through the Joint Consultative and Safety Committee.  </w:t>
      </w:r>
      <w:r w:rsidR="006C414E">
        <w:rPr>
          <w:rFonts w:cs="Arial"/>
          <w:szCs w:val="24"/>
        </w:rPr>
        <w:t xml:space="preserve">The pay scale for the Chief Executive was last reviewed </w:t>
      </w:r>
      <w:r w:rsidR="00A26CA8">
        <w:rPr>
          <w:rFonts w:cs="Arial"/>
          <w:szCs w:val="24"/>
        </w:rPr>
        <w:t xml:space="preserve">in early 2018 </w:t>
      </w:r>
      <w:r w:rsidR="004D6173">
        <w:rPr>
          <w:rFonts w:cs="Arial"/>
          <w:szCs w:val="24"/>
        </w:rPr>
        <w:t xml:space="preserve">as part of the </w:t>
      </w:r>
      <w:r w:rsidR="00A26CA8">
        <w:rPr>
          <w:rFonts w:cs="Arial"/>
          <w:szCs w:val="24"/>
        </w:rPr>
        <w:t xml:space="preserve">recruitment process for a new Chief Executive. </w:t>
      </w:r>
      <w:r w:rsidR="000E76FA">
        <w:rPr>
          <w:rFonts w:cs="Arial"/>
          <w:szCs w:val="24"/>
        </w:rPr>
        <w:t>I</w:t>
      </w:r>
      <w:r w:rsidR="0060335F">
        <w:rPr>
          <w:rFonts w:cs="Arial"/>
          <w:szCs w:val="24"/>
        </w:rPr>
        <w:t xml:space="preserve">n 2016 the pay rate for </w:t>
      </w:r>
      <w:r w:rsidR="006C414E">
        <w:rPr>
          <w:rFonts w:cs="Arial"/>
          <w:szCs w:val="24"/>
        </w:rPr>
        <w:t>Directors was also confirmed.  W</w:t>
      </w:r>
      <w:r w:rsidR="004D6173">
        <w:rPr>
          <w:rFonts w:cs="Arial"/>
          <w:szCs w:val="24"/>
        </w:rPr>
        <w:t>hen setting these pay scales</w:t>
      </w:r>
      <w:r w:rsidR="006C414E">
        <w:rPr>
          <w:rFonts w:cs="Arial"/>
          <w:szCs w:val="24"/>
        </w:rPr>
        <w:t xml:space="preserve"> the committee </w:t>
      </w:r>
      <w:proofErr w:type="gramStart"/>
      <w:r w:rsidR="004D6173">
        <w:rPr>
          <w:rFonts w:cs="Arial"/>
          <w:szCs w:val="24"/>
        </w:rPr>
        <w:t>took into account</w:t>
      </w:r>
      <w:proofErr w:type="gramEnd"/>
      <w:r w:rsidR="004D6173">
        <w:rPr>
          <w:rFonts w:cs="Arial"/>
          <w:szCs w:val="24"/>
        </w:rPr>
        <w:t xml:space="preserve"> the need to</w:t>
      </w:r>
      <w:r w:rsidR="004D6173">
        <w:t xml:space="preserve"> balance affordability with fair pay for the work whilst also recognising pay levels for similar posts within the local market and pay differentials within the organisation.</w:t>
      </w:r>
      <w:r w:rsidR="003B3ABA">
        <w:t xml:space="preserve"> More recently a new senior management structure has been applied from 2021 in which the grades of </w:t>
      </w:r>
      <w:proofErr w:type="gramStart"/>
      <w:r w:rsidR="003B3ABA">
        <w:t>newly-created</w:t>
      </w:r>
      <w:proofErr w:type="gramEnd"/>
      <w:r w:rsidR="003B3ABA">
        <w:t xml:space="preserve"> Heads of Service were reassessed.</w:t>
      </w:r>
    </w:p>
    <w:p w14:paraId="0A958931" w14:textId="77777777" w:rsidR="0077013C" w:rsidRDefault="0077013C" w:rsidP="004D6173">
      <w:pPr>
        <w:ind w:left="709"/>
      </w:pPr>
    </w:p>
    <w:p w14:paraId="25BCD214" w14:textId="77777777" w:rsidR="001A57CF" w:rsidRDefault="001A57CF" w:rsidP="004D6173">
      <w:pPr>
        <w:ind w:left="709"/>
      </w:pPr>
      <w:r>
        <w:t xml:space="preserve">The ACSC approved a performance-related pay scheme that applies </w:t>
      </w:r>
      <w:r w:rsidR="006C414E">
        <w:t xml:space="preserve">all </w:t>
      </w:r>
      <w:r>
        <w:t>Director</w:t>
      </w:r>
      <w:r w:rsidR="006C414E">
        <w:t>s</w:t>
      </w:r>
      <w:r w:rsidR="00541B83">
        <w:t xml:space="preserve"> and another for the Chief Executive</w:t>
      </w:r>
      <w:r>
        <w:t>.  Th</w:t>
      </w:r>
      <w:r w:rsidR="00541B83">
        <w:t>ese are</w:t>
      </w:r>
      <w:r>
        <w:t xml:space="preserve"> shown at Appendix v</w:t>
      </w:r>
      <w:r w:rsidR="006C414E">
        <w:t>i</w:t>
      </w:r>
      <w:r w:rsidR="00541B83">
        <w:t>-a and b respectively</w:t>
      </w:r>
      <w:r>
        <w:t>.  Th</w:t>
      </w:r>
      <w:r w:rsidR="00541B83">
        <w:t xml:space="preserve">ese schemes also </w:t>
      </w:r>
      <w:r>
        <w:t>confirm that appointment is generally at the bottom point of the pay scale and that progression through the scale is through satisfactory performance only.</w:t>
      </w:r>
    </w:p>
    <w:p w14:paraId="57D4025C" w14:textId="77777777" w:rsidR="001A57CF" w:rsidRPr="005C51FA" w:rsidRDefault="001A57CF" w:rsidP="004D6173">
      <w:pPr>
        <w:ind w:left="709"/>
        <w:rPr>
          <w:color w:val="000000"/>
        </w:rPr>
      </w:pPr>
    </w:p>
    <w:p w14:paraId="7B6B6CFE" w14:textId="77777777" w:rsidR="00002F0B" w:rsidRPr="005C51FA" w:rsidRDefault="001A57CF" w:rsidP="004D6173">
      <w:pPr>
        <w:ind w:left="709"/>
        <w:rPr>
          <w:color w:val="000000"/>
        </w:rPr>
      </w:pPr>
      <w:r w:rsidRPr="005C51FA">
        <w:rPr>
          <w:color w:val="000000"/>
        </w:rPr>
        <w:t>The pay p</w:t>
      </w:r>
      <w:r w:rsidR="005B7A48">
        <w:rPr>
          <w:color w:val="000000"/>
        </w:rPr>
        <w:t>rinciples</w:t>
      </w:r>
      <w:r w:rsidRPr="005C51FA">
        <w:rPr>
          <w:color w:val="000000"/>
        </w:rPr>
        <w:t xml:space="preserve"> applying to </w:t>
      </w:r>
      <w:r w:rsidR="00002F0B" w:rsidRPr="005C51FA">
        <w:rPr>
          <w:color w:val="000000"/>
        </w:rPr>
        <w:t xml:space="preserve">the </w:t>
      </w:r>
      <w:r w:rsidR="00EA654F">
        <w:rPr>
          <w:color w:val="000000"/>
        </w:rPr>
        <w:t>Head of Service</w:t>
      </w:r>
      <w:r w:rsidR="00002F0B" w:rsidRPr="005C51FA">
        <w:rPr>
          <w:color w:val="000000"/>
        </w:rPr>
        <w:t>s as JNC officers w</w:t>
      </w:r>
      <w:r w:rsidR="005B7A48">
        <w:rPr>
          <w:color w:val="000000"/>
        </w:rPr>
        <w:t>ere</w:t>
      </w:r>
      <w:r w:rsidR="00002F0B" w:rsidRPr="005C51FA">
        <w:rPr>
          <w:color w:val="000000"/>
        </w:rPr>
        <w:t xml:space="preserve"> determined by ACSC after consultation through the JCSC process.  The basis of these grades, how they relate to the pay of Directors and the matrix used by SLT to place these jobs into the appropriate grade are shown at Appendix ii.  </w:t>
      </w:r>
    </w:p>
    <w:p w14:paraId="634149DA" w14:textId="77777777" w:rsidR="00996F0B" w:rsidRDefault="00996F0B" w:rsidP="004D6173">
      <w:pPr>
        <w:ind w:left="709"/>
        <w:rPr>
          <w:color w:val="000000"/>
        </w:rPr>
      </w:pPr>
    </w:p>
    <w:p w14:paraId="5ABB1A84" w14:textId="77777777" w:rsidR="000840AD" w:rsidRPr="005C51FA" w:rsidRDefault="00464CF9" w:rsidP="004D6173">
      <w:pPr>
        <w:ind w:left="709"/>
        <w:rPr>
          <w:color w:val="000000"/>
        </w:rPr>
      </w:pPr>
      <w:r w:rsidRPr="005C51FA">
        <w:rPr>
          <w:color w:val="000000"/>
        </w:rPr>
        <w:t>A</w:t>
      </w:r>
      <w:r w:rsidR="001A57CF" w:rsidRPr="005C51FA">
        <w:rPr>
          <w:color w:val="000000"/>
        </w:rPr>
        <w:t>s part of the</w:t>
      </w:r>
      <w:r w:rsidRPr="005C51FA">
        <w:rPr>
          <w:color w:val="000000"/>
        </w:rPr>
        <w:t xml:space="preserve"> implementation of the NJC national Job Evaluation Scheme in 2001, a pay policy was adopted by committee in 2001 (Appendix </w:t>
      </w:r>
      <w:proofErr w:type="spellStart"/>
      <w:r w:rsidRPr="005C51FA">
        <w:rPr>
          <w:color w:val="000000"/>
        </w:rPr>
        <w:t>i</w:t>
      </w:r>
      <w:proofErr w:type="spellEnd"/>
      <w:r w:rsidRPr="005C51FA">
        <w:rPr>
          <w:color w:val="000000"/>
        </w:rPr>
        <w:t>).  Basic job grades are still determined using this scheme and the basic principles set out therein.  With the implementation of the job evalu</w:t>
      </w:r>
      <w:r w:rsidR="0058066F" w:rsidRPr="005C51FA">
        <w:rPr>
          <w:color w:val="000000"/>
        </w:rPr>
        <w:t>a</w:t>
      </w:r>
      <w:r w:rsidRPr="005C51FA">
        <w:rPr>
          <w:color w:val="000000"/>
        </w:rPr>
        <w:t xml:space="preserve">tion scheme came the </w:t>
      </w:r>
      <w:r w:rsidR="00002F0B" w:rsidRPr="005C51FA">
        <w:rPr>
          <w:color w:val="000000"/>
        </w:rPr>
        <w:t xml:space="preserve">setting of a “pay line” that </w:t>
      </w:r>
      <w:r w:rsidR="0058066F" w:rsidRPr="005C51FA">
        <w:rPr>
          <w:color w:val="000000"/>
        </w:rPr>
        <w:t>equat</w:t>
      </w:r>
      <w:r w:rsidR="00002F0B" w:rsidRPr="005C51FA">
        <w:rPr>
          <w:color w:val="000000"/>
        </w:rPr>
        <w:t xml:space="preserve">es each job’s </w:t>
      </w:r>
      <w:r w:rsidR="0058066F" w:rsidRPr="005C51FA">
        <w:rPr>
          <w:color w:val="000000"/>
        </w:rPr>
        <w:t xml:space="preserve">evaluation points to a job grade.  </w:t>
      </w:r>
      <w:r w:rsidR="003F2B15" w:rsidRPr="005C51FA">
        <w:rPr>
          <w:color w:val="000000"/>
        </w:rPr>
        <w:t xml:space="preserve">The pay policy </w:t>
      </w:r>
      <w:r w:rsidR="00C57281" w:rsidRPr="005C51FA">
        <w:rPr>
          <w:color w:val="000000"/>
        </w:rPr>
        <w:t xml:space="preserve">for the Council’s NJC staff </w:t>
      </w:r>
      <w:r w:rsidR="003F2B15" w:rsidRPr="005C51FA">
        <w:rPr>
          <w:color w:val="000000"/>
        </w:rPr>
        <w:t>defines how national spinal column points are associated to</w:t>
      </w:r>
      <w:r w:rsidR="00002F0B" w:rsidRPr="005C51FA">
        <w:rPr>
          <w:color w:val="000000"/>
        </w:rPr>
        <w:t xml:space="preserve"> local</w:t>
      </w:r>
      <w:r w:rsidR="00977A87">
        <w:rPr>
          <w:color w:val="000000"/>
        </w:rPr>
        <w:t xml:space="preserve"> job grades and is</w:t>
      </w:r>
      <w:r w:rsidR="003F2B15" w:rsidRPr="005C51FA">
        <w:rPr>
          <w:color w:val="000000"/>
        </w:rPr>
        <w:t xml:space="preserve"> shown in Appendix </w:t>
      </w:r>
      <w:proofErr w:type="spellStart"/>
      <w:r w:rsidR="00977A87">
        <w:rPr>
          <w:color w:val="000000"/>
        </w:rPr>
        <w:t>i</w:t>
      </w:r>
      <w:proofErr w:type="spellEnd"/>
      <w:r w:rsidR="00977A87">
        <w:rPr>
          <w:color w:val="000000"/>
        </w:rPr>
        <w:t xml:space="preserve"> (</w:t>
      </w:r>
      <w:proofErr w:type="gramStart"/>
      <w:r w:rsidR="00977A87">
        <w:rPr>
          <w:color w:val="000000"/>
        </w:rPr>
        <w:t>and also</w:t>
      </w:r>
      <w:proofErr w:type="gramEnd"/>
      <w:r w:rsidR="00977A87">
        <w:rPr>
          <w:color w:val="000000"/>
        </w:rPr>
        <w:t xml:space="preserve"> as part of the Pay Strategy at Appendix i</w:t>
      </w:r>
      <w:r w:rsidR="0062593F">
        <w:rPr>
          <w:color w:val="000000"/>
        </w:rPr>
        <w:t>A</w:t>
      </w:r>
      <w:r w:rsidR="00977A87">
        <w:rPr>
          <w:color w:val="000000"/>
        </w:rPr>
        <w:t>)</w:t>
      </w:r>
      <w:r w:rsidR="003F2B15" w:rsidRPr="005C51FA">
        <w:rPr>
          <w:color w:val="000000"/>
        </w:rPr>
        <w:t xml:space="preserve">. </w:t>
      </w:r>
      <w:r w:rsidR="001A57CF" w:rsidRPr="005C51FA">
        <w:rPr>
          <w:color w:val="000000"/>
        </w:rPr>
        <w:t xml:space="preserve"> </w:t>
      </w:r>
    </w:p>
    <w:p w14:paraId="56F5307D" w14:textId="77777777" w:rsidR="000840AD" w:rsidRPr="005C51FA" w:rsidRDefault="00D67126" w:rsidP="004D6173">
      <w:pPr>
        <w:ind w:left="709"/>
        <w:rPr>
          <w:color w:val="000000"/>
        </w:rPr>
      </w:pPr>
      <w:r>
        <w:rPr>
          <w:color w:val="000000"/>
        </w:rPr>
        <w:br w:type="page"/>
      </w:r>
    </w:p>
    <w:p w14:paraId="175212E4" w14:textId="1001B195" w:rsidR="00EC3C67" w:rsidRDefault="0077013C" w:rsidP="004D6173">
      <w:pPr>
        <w:ind w:left="709"/>
      </w:pPr>
      <w:r w:rsidRPr="005C51FA">
        <w:rPr>
          <w:color w:val="000000"/>
        </w:rPr>
        <w:t>Each year the 30 November is used as the reference period for pay information.</w:t>
      </w:r>
      <w:r w:rsidR="000840AD" w:rsidRPr="005C51FA">
        <w:rPr>
          <w:color w:val="000000"/>
        </w:rPr>
        <w:t xml:space="preserve"> </w:t>
      </w:r>
      <w:r w:rsidR="005C6B51">
        <w:rPr>
          <w:color w:val="000000"/>
        </w:rPr>
        <w:t>Most NJC</w:t>
      </w:r>
      <w:r w:rsidR="00A93AB5">
        <w:rPr>
          <w:color w:val="000000"/>
        </w:rPr>
        <w:t xml:space="preserve"> </w:t>
      </w:r>
      <w:r w:rsidR="005C6B51">
        <w:rPr>
          <w:color w:val="000000"/>
        </w:rPr>
        <w:t xml:space="preserve">(most of our workforce) </w:t>
      </w:r>
      <w:r w:rsidR="00A93AB5">
        <w:rPr>
          <w:color w:val="000000"/>
        </w:rPr>
        <w:t>employees this year (202</w:t>
      </w:r>
      <w:r w:rsidR="005C6B51">
        <w:rPr>
          <w:color w:val="000000"/>
        </w:rPr>
        <w:t>3</w:t>
      </w:r>
      <w:r w:rsidR="00A93AB5">
        <w:rPr>
          <w:color w:val="000000"/>
        </w:rPr>
        <w:t>/2</w:t>
      </w:r>
      <w:r w:rsidR="005C6B51">
        <w:rPr>
          <w:color w:val="000000"/>
        </w:rPr>
        <w:t>4</w:t>
      </w:r>
      <w:proofErr w:type="gramStart"/>
      <w:r w:rsidR="00A93AB5">
        <w:rPr>
          <w:color w:val="000000"/>
        </w:rPr>
        <w:t xml:space="preserve">) </w:t>
      </w:r>
      <w:r w:rsidR="00A93AB5">
        <w:t>)</w:t>
      </w:r>
      <w:proofErr w:type="gramEnd"/>
      <w:r w:rsidR="00A93AB5">
        <w:t xml:space="preserve"> received an award of an additional £1,925 on their annual full-time salary (pro rata for part time).</w:t>
      </w:r>
      <w:r w:rsidR="002C12C4">
        <w:t xml:space="preserve"> Chief Executives </w:t>
      </w:r>
      <w:r w:rsidR="005C6B51">
        <w:t>and Chief Officers received an award of 3.5%.</w:t>
      </w:r>
      <w:r w:rsidR="002C12C4">
        <w:t xml:space="preserve"> </w:t>
      </w:r>
      <w:r w:rsidR="00A93AB5">
        <w:t xml:space="preserve">This increase means that our lowest paid employees received an award of almost </w:t>
      </w:r>
      <w:r w:rsidR="005C6B51">
        <w:t xml:space="preserve">around 8.9% </w:t>
      </w:r>
      <w:r w:rsidR="00A93AB5">
        <w:t xml:space="preserve">whereas higher paid NJC employees received around </w:t>
      </w:r>
      <w:r w:rsidR="005C6B51">
        <w:t>3.88</w:t>
      </w:r>
      <w:r w:rsidR="00A93AB5">
        <w:t>%.</w:t>
      </w:r>
      <w:r w:rsidR="000842BC">
        <w:t xml:space="preserve"> By making an award </w:t>
      </w:r>
      <w:r w:rsidR="005C6B51">
        <w:t xml:space="preserve">to NJC employees </w:t>
      </w:r>
      <w:r w:rsidR="000842BC">
        <w:t xml:space="preserve">based on a flat payment rather than as a percentage of pay means that pay differentials between high and low pay are reduced and this is reflected in this Pay Policy Statement. The consequence is also that Local Government pay continues to start at a figure </w:t>
      </w:r>
      <w:proofErr w:type="gramStart"/>
      <w:r w:rsidR="000842BC">
        <w:t>in excess of</w:t>
      </w:r>
      <w:proofErr w:type="gramEnd"/>
      <w:r w:rsidR="000842BC">
        <w:t xml:space="preserve"> the National Living Wage. </w:t>
      </w:r>
      <w:r w:rsidR="00531569">
        <w:t xml:space="preserve">  </w:t>
      </w:r>
      <w:r w:rsidR="000840AD">
        <w:t xml:space="preserve"> </w:t>
      </w:r>
    </w:p>
    <w:p w14:paraId="42AB6262" w14:textId="77777777" w:rsidR="00EC3C67" w:rsidRDefault="00EC3C67" w:rsidP="004D6173">
      <w:pPr>
        <w:ind w:left="709"/>
      </w:pPr>
    </w:p>
    <w:p w14:paraId="43EA3439" w14:textId="4D37ADF7" w:rsidR="000842BC" w:rsidRDefault="00EC3C67" w:rsidP="004D6173">
      <w:pPr>
        <w:ind w:left="709"/>
      </w:pPr>
      <w:r>
        <w:t>F</w:t>
      </w:r>
      <w:r w:rsidR="00D67126">
        <w:t xml:space="preserve">rom 1 April 2019 the national pay spinal column points were renumbered and the new points including the associated rates of pay were applied into our local pay scales. </w:t>
      </w:r>
      <w:r w:rsidR="000842BC">
        <w:t xml:space="preserve">From 2023 spinal column point 1 </w:t>
      </w:r>
      <w:r w:rsidR="005C6B51">
        <w:t>has</w:t>
      </w:r>
      <w:r w:rsidR="000842BC">
        <w:t xml:space="preserve"> be removed from the national pay spine.</w:t>
      </w:r>
      <w:r w:rsidR="00D67126">
        <w:t xml:space="preserve">   </w:t>
      </w:r>
    </w:p>
    <w:p w14:paraId="0AE25AC2" w14:textId="77777777" w:rsidR="000842BC" w:rsidRDefault="000842BC" w:rsidP="004D6173">
      <w:pPr>
        <w:ind w:left="709"/>
      </w:pPr>
    </w:p>
    <w:p w14:paraId="521A279B" w14:textId="77777777" w:rsidR="003F2B15" w:rsidRPr="00855327" w:rsidRDefault="003F2B15" w:rsidP="00D32888">
      <w:pPr>
        <w:numPr>
          <w:ilvl w:val="2"/>
          <w:numId w:val="16"/>
        </w:numPr>
        <w:ind w:left="1418"/>
        <w:rPr>
          <w:b/>
        </w:rPr>
      </w:pPr>
      <w:r w:rsidRPr="00855327">
        <w:rPr>
          <w:b/>
        </w:rPr>
        <w:t>Enhancemen</w:t>
      </w:r>
      <w:r w:rsidR="00503085">
        <w:rPr>
          <w:b/>
        </w:rPr>
        <w:t xml:space="preserve">ts to </w:t>
      </w:r>
      <w:r w:rsidR="00222CE1">
        <w:rPr>
          <w:b/>
        </w:rPr>
        <w:t>Chief Officer</w:t>
      </w:r>
      <w:r w:rsidR="00503085">
        <w:rPr>
          <w:b/>
        </w:rPr>
        <w:t>s’</w:t>
      </w:r>
      <w:r w:rsidR="009312B1">
        <w:rPr>
          <w:b/>
        </w:rPr>
        <w:t xml:space="preserve"> </w:t>
      </w:r>
      <w:r w:rsidR="00A12001">
        <w:rPr>
          <w:b/>
        </w:rPr>
        <w:t>b</w:t>
      </w:r>
      <w:r w:rsidR="00503085">
        <w:rPr>
          <w:b/>
        </w:rPr>
        <w:t xml:space="preserve">asic </w:t>
      </w:r>
      <w:r w:rsidR="00A12001">
        <w:rPr>
          <w:b/>
        </w:rPr>
        <w:t>p</w:t>
      </w:r>
      <w:r w:rsidR="00503085">
        <w:rPr>
          <w:b/>
        </w:rPr>
        <w:t>ay</w:t>
      </w:r>
    </w:p>
    <w:p w14:paraId="506E4BBC" w14:textId="07CACBFE" w:rsidR="00B06B21" w:rsidRDefault="00B06B21" w:rsidP="00B06B21">
      <w:pPr>
        <w:ind w:left="720"/>
        <w:rPr>
          <w:szCs w:val="24"/>
        </w:rPr>
      </w:pPr>
      <w:r>
        <w:t xml:space="preserve">Following the review of local pay in 2016 pay grades have largely been simplified and are now designed to reflect a fair market rate for the job.  </w:t>
      </w:r>
      <w:proofErr w:type="gramStart"/>
      <w:r>
        <w:t>Consequently</w:t>
      </w:r>
      <w:proofErr w:type="gramEnd"/>
      <w:r>
        <w:t xml:space="preserve"> previous policies that allowed additional </w:t>
      </w:r>
      <w:r w:rsidR="00E371F3">
        <w:t xml:space="preserve">enhanced </w:t>
      </w:r>
      <w:r>
        <w:t>payments to be applied either to Chief Officer or other NJC employees have now been removed</w:t>
      </w:r>
      <w:r w:rsidR="0060335F">
        <w:t xml:space="preserve"> other than for the Head</w:t>
      </w:r>
      <w:r w:rsidR="00C2036F">
        <w:t>s</w:t>
      </w:r>
      <w:r w:rsidR="0060335F">
        <w:t xml:space="preserve"> of </w:t>
      </w:r>
      <w:r w:rsidR="00C2036F">
        <w:t xml:space="preserve">Service undertaking statutory roles (Monitoring Officer and Section 151 Officer) where plussages of between 5% and 10% are applied. </w:t>
      </w:r>
    </w:p>
    <w:p w14:paraId="325C50C0" w14:textId="77777777" w:rsidR="00ED150A" w:rsidRDefault="00ED150A" w:rsidP="007F2504">
      <w:pPr>
        <w:ind w:left="720"/>
        <w:rPr>
          <w:szCs w:val="24"/>
        </w:rPr>
      </w:pPr>
    </w:p>
    <w:p w14:paraId="1A92AD58" w14:textId="77777777" w:rsidR="00855327" w:rsidRPr="004F4E8E" w:rsidRDefault="00855327" w:rsidP="00D32888">
      <w:pPr>
        <w:numPr>
          <w:ilvl w:val="2"/>
          <w:numId w:val="16"/>
        </w:numPr>
        <w:ind w:left="1418"/>
        <w:rPr>
          <w:b/>
        </w:rPr>
      </w:pPr>
      <w:r w:rsidRPr="004F4E8E">
        <w:rPr>
          <w:b/>
        </w:rPr>
        <w:t xml:space="preserve">Additional </w:t>
      </w:r>
      <w:r w:rsidR="00A12001">
        <w:rPr>
          <w:b/>
        </w:rPr>
        <w:t>p</w:t>
      </w:r>
      <w:r w:rsidRPr="004F4E8E">
        <w:rPr>
          <w:b/>
        </w:rPr>
        <w:t xml:space="preserve">ayments made to </w:t>
      </w:r>
      <w:r w:rsidR="00222CE1">
        <w:rPr>
          <w:b/>
        </w:rPr>
        <w:t>Chief Officer</w:t>
      </w:r>
      <w:r w:rsidRPr="004F4E8E">
        <w:rPr>
          <w:b/>
        </w:rPr>
        <w:t>s</w:t>
      </w:r>
    </w:p>
    <w:p w14:paraId="0810C969" w14:textId="77777777" w:rsidR="00855327" w:rsidRDefault="00B06B21" w:rsidP="00855327">
      <w:pPr>
        <w:ind w:left="720"/>
      </w:pPr>
      <w:r>
        <w:t xml:space="preserve">The </w:t>
      </w:r>
      <w:r w:rsidR="00855327">
        <w:t xml:space="preserve">only additional payment made to </w:t>
      </w:r>
      <w:r w:rsidR="00222CE1">
        <w:t>Chief Officer</w:t>
      </w:r>
      <w:r w:rsidR="00855327">
        <w:t>s relates to election expenses.  The only post formally designated within legislation and to which expenses are paid is that of Chief Executive which is nominated as the Returning Officer.  The role of Deputy Returning Officer may be applied to any other post and payment may not be made simply because of this designation.</w:t>
      </w:r>
    </w:p>
    <w:p w14:paraId="070B7CB7" w14:textId="77777777" w:rsidR="00855327" w:rsidRDefault="00855327" w:rsidP="00855327">
      <w:pPr>
        <w:ind w:left="720"/>
      </w:pPr>
    </w:p>
    <w:p w14:paraId="5EBC3B77" w14:textId="77777777" w:rsidR="00855327" w:rsidRDefault="00855327" w:rsidP="00855327">
      <w:pPr>
        <w:ind w:left="720"/>
      </w:pPr>
      <w:r>
        <w:t>Payments to the Returning Officer are governed as follows:</w:t>
      </w:r>
    </w:p>
    <w:p w14:paraId="76422CE7" w14:textId="55E8D547" w:rsidR="00855327" w:rsidRDefault="00855327" w:rsidP="00855327">
      <w:pPr>
        <w:ind w:left="720"/>
      </w:pPr>
      <w:r>
        <w:t>For national elections, fees are prescribed by the Electoral Commission.</w:t>
      </w:r>
    </w:p>
    <w:p w14:paraId="63C1909A" w14:textId="77777777" w:rsidR="00855327" w:rsidRDefault="00855327" w:rsidP="00855327">
      <w:pPr>
        <w:ind w:left="720"/>
      </w:pPr>
    </w:p>
    <w:p w14:paraId="13D5595C" w14:textId="77777777" w:rsidR="00855327" w:rsidRDefault="00855327" w:rsidP="00855327">
      <w:pPr>
        <w:ind w:left="720"/>
      </w:pPr>
      <w:r>
        <w:t xml:space="preserve">For local elections, fees are determined within a local framework used by other </w:t>
      </w:r>
      <w:r w:rsidR="000E48ED">
        <w:t>district c</w:t>
      </w:r>
      <w:r>
        <w:t>ouncils within the County.  This framework is applied consistently and is known as “The County Scale”.  This is reviewed periodically by lead electoral officers within the boroughs.</w:t>
      </w:r>
      <w:r w:rsidR="00AB250F">
        <w:t xml:space="preserve"> </w:t>
      </w:r>
    </w:p>
    <w:p w14:paraId="7AD1EA19" w14:textId="77777777" w:rsidR="00AE0CA6" w:rsidRDefault="00AE0CA6" w:rsidP="00855327">
      <w:pPr>
        <w:ind w:left="720"/>
      </w:pPr>
    </w:p>
    <w:p w14:paraId="620EAC74" w14:textId="77777777" w:rsidR="00855327" w:rsidRPr="00234B03" w:rsidRDefault="00D97252" w:rsidP="00D32888">
      <w:pPr>
        <w:numPr>
          <w:ilvl w:val="1"/>
          <w:numId w:val="16"/>
        </w:numPr>
        <w:ind w:left="709"/>
        <w:rPr>
          <w:b/>
        </w:rPr>
      </w:pPr>
      <w:r>
        <w:rPr>
          <w:b/>
        </w:rPr>
        <w:t xml:space="preserve"> </w:t>
      </w:r>
      <w:r w:rsidR="004F4E8E" w:rsidRPr="00234B03">
        <w:rPr>
          <w:b/>
        </w:rPr>
        <w:t xml:space="preserve">Salary </w:t>
      </w:r>
      <w:r w:rsidR="00A12001">
        <w:rPr>
          <w:b/>
        </w:rPr>
        <w:t>p</w:t>
      </w:r>
      <w:r w:rsidR="004F4E8E" w:rsidRPr="00234B03">
        <w:rPr>
          <w:b/>
        </w:rPr>
        <w:t>rotection</w:t>
      </w:r>
    </w:p>
    <w:p w14:paraId="67FAC337" w14:textId="77777777" w:rsidR="004F4E8E" w:rsidRDefault="004F4E8E" w:rsidP="004F4E8E">
      <w:pPr>
        <w:ind w:left="792"/>
      </w:pPr>
      <w:r>
        <w:t xml:space="preserve">The Council’s Pay Protection Policy was reviewed </w:t>
      </w:r>
      <w:r w:rsidR="004B3457">
        <w:t xml:space="preserve">during 2019. </w:t>
      </w:r>
      <w:r>
        <w:t xml:space="preserve">A full description of the </w:t>
      </w:r>
      <w:r w:rsidR="00BE05CC">
        <w:t>p</w:t>
      </w:r>
      <w:r>
        <w:t xml:space="preserve">olicy is shown at Appendix vii.  </w:t>
      </w:r>
      <w:r w:rsidR="00F30599">
        <w:t xml:space="preserve">This Pay Protection Policy applies to all employees of the Council, including </w:t>
      </w:r>
      <w:r w:rsidR="00222CE1">
        <w:t>Chief Officer</w:t>
      </w:r>
      <w:r w:rsidR="00F30599">
        <w:t xml:space="preserve">s as defined in the Localism Act.  </w:t>
      </w:r>
      <w:r>
        <w:t xml:space="preserve">In essence, should a case of pay protection arise, for example due to redeployment or down-grading of a post, protection between an employee’s salary at that time and the value of their </w:t>
      </w:r>
      <w:r w:rsidR="00AB250F">
        <w:t xml:space="preserve">new </w:t>
      </w:r>
      <w:r>
        <w:t>substantive post will apply in the following way:</w:t>
      </w:r>
    </w:p>
    <w:p w14:paraId="1A201676" w14:textId="77777777" w:rsidR="004F4E8E" w:rsidRDefault="004F4E8E" w:rsidP="004F4E8E">
      <w:pPr>
        <w:ind w:left="792"/>
      </w:pPr>
      <w:r>
        <w:t>-</w:t>
      </w:r>
      <w:r>
        <w:tab/>
        <w:t>100% for one year</w:t>
      </w:r>
    </w:p>
    <w:p w14:paraId="5C0A5B8C" w14:textId="77777777" w:rsidR="004B3457" w:rsidRDefault="004F4E8E" w:rsidP="004B3457">
      <w:pPr>
        <w:ind w:left="792"/>
      </w:pPr>
      <w:r>
        <w:t>-</w:t>
      </w:r>
      <w:r>
        <w:tab/>
      </w:r>
      <w:r w:rsidR="004B3457">
        <w:t>50</w:t>
      </w:r>
      <w:r>
        <w:t>% for year two</w:t>
      </w:r>
    </w:p>
    <w:p w14:paraId="1466E9EC" w14:textId="77777777" w:rsidR="004F4E8E" w:rsidRDefault="004F4E8E" w:rsidP="004F4E8E">
      <w:pPr>
        <w:ind w:left="792"/>
      </w:pPr>
      <w:r>
        <w:t>.</w:t>
      </w:r>
    </w:p>
    <w:p w14:paraId="4B28B0F7" w14:textId="77777777" w:rsidR="0040416F" w:rsidRDefault="0040416F" w:rsidP="004F4E8E">
      <w:pPr>
        <w:ind w:left="792"/>
      </w:pPr>
    </w:p>
    <w:p w14:paraId="7319D057" w14:textId="77777777" w:rsidR="004F4E8E" w:rsidRDefault="00B06B21" w:rsidP="004F4E8E">
      <w:pPr>
        <w:ind w:left="792"/>
      </w:pPr>
      <w:r>
        <w:t xml:space="preserve">Salary protection would not occur in cases where a post holder was </w:t>
      </w:r>
      <w:proofErr w:type="gramStart"/>
      <w:r>
        <w:t>down-graded</w:t>
      </w:r>
      <w:proofErr w:type="gramEnd"/>
      <w:r>
        <w:t xml:space="preserve"> to work of lower pay following disciplinary action.</w:t>
      </w:r>
    </w:p>
    <w:p w14:paraId="405A86ED" w14:textId="77777777" w:rsidR="000842BC" w:rsidRDefault="000842BC" w:rsidP="004F4E8E">
      <w:pPr>
        <w:ind w:left="792"/>
      </w:pPr>
    </w:p>
    <w:p w14:paraId="6BF70C89" w14:textId="77777777" w:rsidR="00B06B21" w:rsidRPr="00DD4B2E" w:rsidRDefault="00B06B21" w:rsidP="004F4E8E">
      <w:pPr>
        <w:ind w:left="792"/>
        <w:rPr>
          <w:color w:val="000000"/>
        </w:rPr>
      </w:pPr>
    </w:p>
    <w:p w14:paraId="7FA8C6D2" w14:textId="77777777" w:rsidR="00D97252" w:rsidRPr="00DD4B2E" w:rsidRDefault="00D97252" w:rsidP="00D32888">
      <w:pPr>
        <w:pStyle w:val="ListParagraph"/>
        <w:numPr>
          <w:ilvl w:val="0"/>
          <w:numId w:val="12"/>
        </w:numPr>
        <w:spacing w:after="0" w:line="240" w:lineRule="auto"/>
        <w:rPr>
          <w:rFonts w:eastAsia="Times New Roman"/>
          <w:b/>
          <w:vanish/>
          <w:color w:val="000000"/>
          <w:szCs w:val="20"/>
        </w:rPr>
      </w:pPr>
    </w:p>
    <w:p w14:paraId="08E06B97" w14:textId="77777777" w:rsidR="00D97252" w:rsidRPr="00DD4B2E" w:rsidRDefault="00D97252" w:rsidP="00D32888">
      <w:pPr>
        <w:pStyle w:val="ListParagraph"/>
        <w:numPr>
          <w:ilvl w:val="0"/>
          <w:numId w:val="12"/>
        </w:numPr>
        <w:spacing w:after="0" w:line="240" w:lineRule="auto"/>
        <w:rPr>
          <w:rFonts w:eastAsia="Times New Roman"/>
          <w:b/>
          <w:vanish/>
          <w:color w:val="000000"/>
          <w:szCs w:val="20"/>
        </w:rPr>
      </w:pPr>
    </w:p>
    <w:p w14:paraId="248C38BA" w14:textId="77777777" w:rsidR="00D97252" w:rsidRPr="00DD4B2E" w:rsidRDefault="00D97252" w:rsidP="00D32888">
      <w:pPr>
        <w:pStyle w:val="ListParagraph"/>
        <w:numPr>
          <w:ilvl w:val="0"/>
          <w:numId w:val="12"/>
        </w:numPr>
        <w:spacing w:after="0" w:line="240" w:lineRule="auto"/>
        <w:rPr>
          <w:rFonts w:eastAsia="Times New Roman"/>
          <w:b/>
          <w:vanish/>
          <w:color w:val="000000"/>
          <w:szCs w:val="20"/>
        </w:rPr>
      </w:pPr>
    </w:p>
    <w:p w14:paraId="32690C3E" w14:textId="77777777" w:rsidR="00F30599" w:rsidRPr="00DD4B2E" w:rsidRDefault="00F30599" w:rsidP="00D32888">
      <w:pPr>
        <w:numPr>
          <w:ilvl w:val="1"/>
          <w:numId w:val="12"/>
        </w:numPr>
        <w:rPr>
          <w:b/>
          <w:color w:val="000000"/>
        </w:rPr>
      </w:pPr>
      <w:r w:rsidRPr="00DD4B2E">
        <w:rPr>
          <w:b/>
          <w:color w:val="000000"/>
        </w:rPr>
        <w:t>Lowest-pay and the relationship wi</w:t>
      </w:r>
      <w:r w:rsidR="00503085" w:rsidRPr="00DD4B2E">
        <w:rPr>
          <w:b/>
          <w:color w:val="000000"/>
        </w:rPr>
        <w:t xml:space="preserve">th highest </w:t>
      </w:r>
      <w:proofErr w:type="gramStart"/>
      <w:r w:rsidR="00503085" w:rsidRPr="00DD4B2E">
        <w:rPr>
          <w:b/>
          <w:color w:val="000000"/>
        </w:rPr>
        <w:t>pay</w:t>
      </w:r>
      <w:proofErr w:type="gramEnd"/>
    </w:p>
    <w:p w14:paraId="030763BE" w14:textId="77777777" w:rsidR="00503085" w:rsidRDefault="00503085" w:rsidP="00F30599">
      <w:pPr>
        <w:ind w:left="709"/>
      </w:pPr>
    </w:p>
    <w:p w14:paraId="4D8A32DC" w14:textId="77777777" w:rsidR="00503085" w:rsidRPr="003C766C" w:rsidRDefault="00D97252" w:rsidP="00F30599">
      <w:pPr>
        <w:ind w:left="709"/>
        <w:rPr>
          <w:b/>
        </w:rPr>
      </w:pPr>
      <w:r w:rsidRPr="003C766C">
        <w:rPr>
          <w:b/>
        </w:rPr>
        <w:t>4</w:t>
      </w:r>
      <w:r w:rsidR="00F30599" w:rsidRPr="003C766C">
        <w:rPr>
          <w:b/>
        </w:rPr>
        <w:t>.3.1.</w:t>
      </w:r>
      <w:r w:rsidR="00503085" w:rsidRPr="003C766C">
        <w:rPr>
          <w:b/>
        </w:rPr>
        <w:t xml:space="preserve"> Definition; “lowest pay”</w:t>
      </w:r>
    </w:p>
    <w:p w14:paraId="49CDFCA9" w14:textId="1D75E64A" w:rsidR="00074D88" w:rsidRDefault="00F30599" w:rsidP="00F30599">
      <w:pPr>
        <w:ind w:left="709"/>
      </w:pPr>
      <w:r w:rsidRPr="00164A4A">
        <w:t>The definition of “lowest pay” for the purpose of this Pay Policy Stateme</w:t>
      </w:r>
      <w:r w:rsidRPr="00B07ED7">
        <w:t>nt is, “The lowest spinal column point in the national pay spine that is used within the local pay and grading structure of the Council</w:t>
      </w:r>
      <w:r w:rsidR="003C766C">
        <w:t xml:space="preserve"> for non-training posts</w:t>
      </w:r>
      <w:r w:rsidRPr="003C766C">
        <w:t xml:space="preserve">.  </w:t>
      </w:r>
      <w:r w:rsidR="003C766C">
        <w:t>A</w:t>
      </w:r>
      <w:r w:rsidR="00074D88">
        <w:t xml:space="preserve">s </w:t>
      </w:r>
      <w:proofErr w:type="gramStart"/>
      <w:r w:rsidR="00074D88">
        <w:t>at</w:t>
      </w:r>
      <w:proofErr w:type="gramEnd"/>
      <w:r w:rsidR="003C766C">
        <w:t xml:space="preserve"> November </w:t>
      </w:r>
      <w:r w:rsidR="00074D88">
        <w:t>20</w:t>
      </w:r>
      <w:r w:rsidR="0060335F">
        <w:t>2</w:t>
      </w:r>
      <w:r w:rsidR="00F0661F">
        <w:t>3</w:t>
      </w:r>
      <w:r w:rsidR="00074D88">
        <w:t xml:space="preserve"> </w:t>
      </w:r>
      <w:r w:rsidR="003C766C">
        <w:t xml:space="preserve">this is </w:t>
      </w:r>
      <w:r w:rsidRPr="003C766C">
        <w:t xml:space="preserve">Spinal Column Point </w:t>
      </w:r>
      <w:r w:rsidR="00F0661F">
        <w:t>5 within Band 3</w:t>
      </w:r>
      <w:r w:rsidRPr="003C766C">
        <w:t>”.</w:t>
      </w:r>
      <w:r w:rsidR="000A7185" w:rsidRPr="003C766C">
        <w:t xml:space="preserve">  </w:t>
      </w:r>
    </w:p>
    <w:p w14:paraId="7E62CEF6" w14:textId="77777777" w:rsidR="00074D88" w:rsidRDefault="00074D88" w:rsidP="00F30599">
      <w:pPr>
        <w:ind w:left="709"/>
      </w:pPr>
    </w:p>
    <w:p w14:paraId="2FAA9EF7" w14:textId="77777777" w:rsidR="00503085" w:rsidRDefault="00A72FDC" w:rsidP="00F30599">
      <w:pPr>
        <w:ind w:left="709"/>
      </w:pPr>
      <w:r w:rsidRPr="003C766C">
        <w:t xml:space="preserve">The Council’s current </w:t>
      </w:r>
      <w:r w:rsidR="00696107">
        <w:t xml:space="preserve">Pay Strategy is shown at Appendix </w:t>
      </w:r>
      <w:proofErr w:type="gramStart"/>
      <w:r w:rsidR="00696107">
        <w:t>i</w:t>
      </w:r>
      <w:r w:rsidR="0005155F">
        <w:t>A</w:t>
      </w:r>
      <w:proofErr w:type="gramEnd"/>
      <w:r w:rsidR="00696107">
        <w:t xml:space="preserve"> and the </w:t>
      </w:r>
      <w:r w:rsidR="00074D88">
        <w:t xml:space="preserve">general </w:t>
      </w:r>
      <w:r w:rsidRPr="003C766C">
        <w:t xml:space="preserve">Pay Policy </w:t>
      </w:r>
      <w:r w:rsidR="00074D88">
        <w:t xml:space="preserve">is </w:t>
      </w:r>
      <w:r w:rsidRPr="003C766C">
        <w:t xml:space="preserve">shown at Appendix </w:t>
      </w:r>
      <w:proofErr w:type="spellStart"/>
      <w:r w:rsidR="00947E48">
        <w:t>i</w:t>
      </w:r>
      <w:proofErr w:type="spellEnd"/>
      <w:r w:rsidR="00074D88">
        <w:t xml:space="preserve">. This policy </w:t>
      </w:r>
      <w:r w:rsidRPr="003C766C">
        <w:t>reflects the decision to adopt the national pay spine to form the basis of our grading structure.</w:t>
      </w:r>
      <w:r w:rsidR="00AE0CA6" w:rsidRPr="003C766C">
        <w:t xml:space="preserve">  </w:t>
      </w:r>
      <w:r w:rsidR="004C1585">
        <w:t xml:space="preserve">National spinal column points were renumbered </w:t>
      </w:r>
      <w:r w:rsidR="00CF5BDC">
        <w:t xml:space="preserve">with effect from April 2019 and the revised points were incorporated into the Council’s local grading system. </w:t>
      </w:r>
    </w:p>
    <w:p w14:paraId="3FA13D47" w14:textId="77777777" w:rsidR="0040354C" w:rsidRDefault="0040354C" w:rsidP="00F30599">
      <w:pPr>
        <w:ind w:left="709"/>
      </w:pPr>
    </w:p>
    <w:p w14:paraId="27B89493" w14:textId="77777777" w:rsidR="00503085" w:rsidRPr="00876431" w:rsidRDefault="00D97252" w:rsidP="00F30599">
      <w:pPr>
        <w:ind w:left="709"/>
        <w:rPr>
          <w:b/>
        </w:rPr>
      </w:pPr>
      <w:r w:rsidRPr="00A5564F">
        <w:rPr>
          <w:b/>
        </w:rPr>
        <w:t>4</w:t>
      </w:r>
      <w:r w:rsidR="00F30599" w:rsidRPr="00FA673E">
        <w:rPr>
          <w:b/>
        </w:rPr>
        <w:t xml:space="preserve">.3.2. </w:t>
      </w:r>
      <w:r w:rsidR="00503085" w:rsidRPr="00876431">
        <w:rPr>
          <w:b/>
        </w:rPr>
        <w:t>Definition; “highest pay”</w:t>
      </w:r>
    </w:p>
    <w:p w14:paraId="6F28A5B0" w14:textId="77777777" w:rsidR="006B6D20" w:rsidRPr="001A0B9A" w:rsidRDefault="00F30599" w:rsidP="00F30599">
      <w:pPr>
        <w:ind w:left="709"/>
      </w:pPr>
      <w:r w:rsidRPr="009938D7">
        <w:t>The definition of “</w:t>
      </w:r>
      <w:r w:rsidR="00503085" w:rsidRPr="008A15D3">
        <w:t>highest</w:t>
      </w:r>
      <w:r w:rsidRPr="00C2022D">
        <w:t xml:space="preserve"> pay” for the purpose of this Pay Policy Statement is, “The </w:t>
      </w:r>
      <w:r w:rsidR="00503085" w:rsidRPr="00A26CBD">
        <w:t>highest</w:t>
      </w:r>
      <w:r w:rsidRPr="00925648">
        <w:t xml:space="preserve"> </w:t>
      </w:r>
      <w:r w:rsidR="00503085" w:rsidRPr="005A7F62">
        <w:t xml:space="preserve">local </w:t>
      </w:r>
      <w:r w:rsidRPr="001A0B9A">
        <w:t xml:space="preserve">spinal column </w:t>
      </w:r>
      <w:proofErr w:type="gramStart"/>
      <w:r w:rsidRPr="001A0B9A">
        <w:t>point</w:t>
      </w:r>
      <w:proofErr w:type="gramEnd"/>
      <w:r w:rsidRPr="001A0B9A">
        <w:t xml:space="preserve"> </w:t>
      </w:r>
      <w:r w:rsidR="00503085" w:rsidRPr="001A0B9A">
        <w:t>that forms part of the Chief Executive’s pay band</w:t>
      </w:r>
      <w:r w:rsidRPr="001A0B9A">
        <w:t>”.</w:t>
      </w:r>
    </w:p>
    <w:p w14:paraId="05694C6C" w14:textId="77777777" w:rsidR="00F30599" w:rsidRPr="001A0B9A" w:rsidRDefault="00F30599" w:rsidP="00F30599">
      <w:pPr>
        <w:ind w:left="709"/>
        <w:rPr>
          <w:b/>
        </w:rPr>
      </w:pPr>
    </w:p>
    <w:p w14:paraId="33A58BE6" w14:textId="77777777" w:rsidR="00F30599" w:rsidRPr="001A0B9A" w:rsidRDefault="00F30599" w:rsidP="00A12001">
      <w:pPr>
        <w:ind w:left="360"/>
        <w:rPr>
          <w:b/>
        </w:rPr>
      </w:pPr>
      <w:r w:rsidRPr="001A0B9A">
        <w:rPr>
          <w:b/>
        </w:rPr>
        <w:tab/>
      </w:r>
      <w:r w:rsidR="00D97252" w:rsidRPr="001A0B9A">
        <w:rPr>
          <w:b/>
        </w:rPr>
        <w:t>4</w:t>
      </w:r>
      <w:r w:rsidR="00503085" w:rsidRPr="001A0B9A">
        <w:rPr>
          <w:b/>
        </w:rPr>
        <w:t>.3.3 Relationship between highest and lowest pay</w:t>
      </w:r>
    </w:p>
    <w:p w14:paraId="70F4C706" w14:textId="77777777" w:rsidR="00503085" w:rsidRPr="001A0B9A" w:rsidRDefault="00503085" w:rsidP="00503085">
      <w:pPr>
        <w:ind w:left="709"/>
      </w:pPr>
      <w:r w:rsidRPr="001A0B9A">
        <w:t>When expressed as a multiplier of pay, the Chief Executive’s salary is:</w:t>
      </w:r>
    </w:p>
    <w:p w14:paraId="79843487" w14:textId="77777777" w:rsidR="00503085" w:rsidRPr="001A0B9A" w:rsidRDefault="00503085" w:rsidP="00503085">
      <w:pPr>
        <w:ind w:left="709"/>
      </w:pPr>
    </w:p>
    <w:p w14:paraId="5FE008EA" w14:textId="08649158" w:rsidR="00503085" w:rsidRPr="00164A4A" w:rsidRDefault="007E502D" w:rsidP="006B6D20">
      <w:pPr>
        <w:ind w:left="720" w:firstLine="11"/>
      </w:pPr>
      <w:r>
        <w:t>5.</w:t>
      </w:r>
      <w:r w:rsidR="00F0661F">
        <w:t>44</w:t>
      </w:r>
      <w:r w:rsidR="00503085" w:rsidRPr="00164A4A">
        <w:t xml:space="preserve"> times greater than the lowest pay rate of the </w:t>
      </w:r>
      <w:r w:rsidR="000E48ED">
        <w:t>Council</w:t>
      </w:r>
    </w:p>
    <w:p w14:paraId="30C2EC2D" w14:textId="52EC180C" w:rsidR="00D02997" w:rsidRPr="00164A4A" w:rsidRDefault="00164A4A" w:rsidP="006B6D20">
      <w:pPr>
        <w:ind w:left="720" w:firstLine="11"/>
      </w:pPr>
      <w:r>
        <w:t>4.</w:t>
      </w:r>
      <w:r w:rsidR="00F0661F">
        <w:t>2</w:t>
      </w:r>
      <w:r w:rsidR="007E502D">
        <w:t>4</w:t>
      </w:r>
      <w:r w:rsidR="00BA36A9" w:rsidRPr="00164A4A">
        <w:t xml:space="preserve"> </w:t>
      </w:r>
      <w:r w:rsidR="00D02997" w:rsidRPr="00164A4A">
        <w:t xml:space="preserve">times greater than the mean pay rate of the </w:t>
      </w:r>
      <w:proofErr w:type="gramStart"/>
      <w:r w:rsidR="000E48ED">
        <w:t>Council</w:t>
      </w:r>
      <w:proofErr w:type="gramEnd"/>
    </w:p>
    <w:p w14:paraId="40EB34CB" w14:textId="29C9F5AE" w:rsidR="00D02997" w:rsidRPr="00B07ED7" w:rsidRDefault="00F0661F" w:rsidP="006B6D20">
      <w:pPr>
        <w:ind w:left="720" w:firstLine="11"/>
      </w:pPr>
      <w:r>
        <w:t>4.67</w:t>
      </w:r>
      <w:r w:rsidR="00D02997" w:rsidRPr="00164A4A">
        <w:t xml:space="preserve"> times greater than the median pay rate of the </w:t>
      </w:r>
      <w:r w:rsidR="000E48ED">
        <w:t>Council</w:t>
      </w:r>
    </w:p>
    <w:p w14:paraId="1A551D4D" w14:textId="77777777" w:rsidR="00FD57E1" w:rsidRPr="00A5564F" w:rsidRDefault="00FD57E1" w:rsidP="00D02997">
      <w:pPr>
        <w:ind w:left="1429" w:firstLine="11"/>
      </w:pPr>
    </w:p>
    <w:p w14:paraId="4E51C65F" w14:textId="1001B041" w:rsidR="00F23FEF" w:rsidRPr="00164A4A" w:rsidRDefault="00F23FEF" w:rsidP="00FD57E1">
      <w:pPr>
        <w:ind w:left="720" w:firstLine="11"/>
      </w:pPr>
      <w:r w:rsidRPr="00FA673E">
        <w:t>Although</w:t>
      </w:r>
      <w:r w:rsidR="0092332D" w:rsidRPr="00876431">
        <w:t xml:space="preserve"> </w:t>
      </w:r>
      <w:r w:rsidRPr="009938D7">
        <w:t>the Localism Act</w:t>
      </w:r>
      <w:r w:rsidR="006B6D20" w:rsidRPr="008A15D3">
        <w:t xml:space="preserve"> requires Authorities to publish the data</w:t>
      </w:r>
      <w:r w:rsidRPr="00C2022D">
        <w:t xml:space="preserve">, the </w:t>
      </w:r>
      <w:r w:rsidR="0052624F" w:rsidRPr="00A26CBD">
        <w:t xml:space="preserve">original </w:t>
      </w:r>
      <w:r w:rsidRPr="00925648">
        <w:t xml:space="preserve">Hutton Review of fair </w:t>
      </w:r>
      <w:proofErr w:type="spellStart"/>
      <w:r w:rsidRPr="00925648">
        <w:t>pay</w:t>
      </w:r>
      <w:proofErr w:type="spellEnd"/>
      <w:r w:rsidRPr="00925648">
        <w:t xml:space="preserve"> in the public sector rejected calls for a fixed limit on pay multiples.  However, to give guidance on what might </w:t>
      </w:r>
      <w:proofErr w:type="gramStart"/>
      <w:r w:rsidRPr="00925648">
        <w:t>be considered to be</w:t>
      </w:r>
      <w:proofErr w:type="gramEnd"/>
      <w:r w:rsidRPr="00925648">
        <w:t xml:space="preserve"> a reasonable pay multiple of highest pay against lowest pay, a ratio of 20:1 was suggested a</w:t>
      </w:r>
      <w:r w:rsidRPr="005A7F62">
        <w:t>s part of the consultation during the review.</w:t>
      </w:r>
      <w:r w:rsidR="00164A4A" w:rsidRPr="00164A4A">
        <w:rPr>
          <w:lang w:val="en"/>
        </w:rPr>
        <w:t xml:space="preserve"> </w:t>
      </w:r>
      <w:r w:rsidR="00F0661F">
        <w:rPr>
          <w:lang w:val="en"/>
        </w:rPr>
        <w:t>Clearly the council operates on ratios at a much lower level.</w:t>
      </w:r>
    </w:p>
    <w:p w14:paraId="32341B94" w14:textId="77777777" w:rsidR="00F23FEF" w:rsidRPr="00164A4A" w:rsidRDefault="00F23FEF" w:rsidP="00FD57E1">
      <w:pPr>
        <w:ind w:left="720" w:firstLine="11"/>
      </w:pPr>
    </w:p>
    <w:p w14:paraId="1412DA47" w14:textId="77777777" w:rsidR="008650B8" w:rsidRPr="00B07ED7" w:rsidRDefault="00F23FEF" w:rsidP="00FD57E1">
      <w:pPr>
        <w:ind w:left="720" w:firstLine="11"/>
      </w:pPr>
      <w:r w:rsidRPr="00A5564F">
        <w:t xml:space="preserve">The </w:t>
      </w:r>
      <w:r w:rsidR="00105DF8">
        <w:t xml:space="preserve">pay ratio of highest to lowest pay in the private sector is variable depending on the size and nature of the business although </w:t>
      </w:r>
      <w:r w:rsidR="006B7AA7">
        <w:t xml:space="preserve">in </w:t>
      </w:r>
      <w:r w:rsidR="007E502D">
        <w:t>2021, u</w:t>
      </w:r>
      <w:r w:rsidR="007E502D">
        <w:rPr>
          <w:rFonts w:cs="Arial"/>
          <w:color w:val="333333"/>
          <w:sz w:val="26"/>
          <w:szCs w:val="26"/>
          <w:shd w:val="clear" w:color="auto" w:fill="FFFFFF"/>
        </w:rPr>
        <w:t>sing accreditation status from the Living Wage Foundation to estimate the pay of low earners, the High Pay Centre calculates the median CEO to lowest-paid worker ratio to be 117:1</w:t>
      </w:r>
      <w:r w:rsidR="00EF423D">
        <w:t>.</w:t>
      </w:r>
      <w:r w:rsidR="00B07ED7">
        <w:t xml:space="preserve"> In the voluntary </w:t>
      </w:r>
      <w:r w:rsidR="00334AB2">
        <w:t xml:space="preserve">and public sectors then high to low pay ratios are traditionally much lower. </w:t>
      </w:r>
      <w:r w:rsidR="00B07ED7">
        <w:rPr>
          <w:lang w:val="en"/>
        </w:rPr>
        <w:t xml:space="preserve">  </w:t>
      </w:r>
    </w:p>
    <w:p w14:paraId="324CA3A5" w14:textId="77777777" w:rsidR="008650B8" w:rsidRPr="00A5564F" w:rsidRDefault="008650B8" w:rsidP="00FD57E1">
      <w:pPr>
        <w:ind w:left="720" w:firstLine="11"/>
      </w:pPr>
    </w:p>
    <w:p w14:paraId="412EC037" w14:textId="77777777" w:rsidR="008650B8" w:rsidRPr="00B07ED7" w:rsidRDefault="008650B8" w:rsidP="00FD57E1">
      <w:pPr>
        <w:ind w:left="720" w:firstLine="11"/>
      </w:pPr>
      <w:r w:rsidRPr="00FA673E">
        <w:t xml:space="preserve">The ratios within the </w:t>
      </w:r>
      <w:r w:rsidR="000E48ED">
        <w:t>Council</w:t>
      </w:r>
      <w:r w:rsidRPr="009938D7">
        <w:t xml:space="preserve">’s pay structures </w:t>
      </w:r>
      <w:r w:rsidR="00105DF8">
        <w:t xml:space="preserve">are very much in line with other local councils of similar size and are certainly within the ranges outlined as being reasonable in the Hutton Review. </w:t>
      </w:r>
      <w:r w:rsidRPr="00B07ED7">
        <w:t xml:space="preserve"> </w:t>
      </w:r>
    </w:p>
    <w:p w14:paraId="3990DE90" w14:textId="77777777" w:rsidR="008650B8" w:rsidRPr="00A5564F" w:rsidRDefault="008650B8" w:rsidP="00FD57E1">
      <w:pPr>
        <w:ind w:left="720" w:firstLine="11"/>
      </w:pPr>
    </w:p>
    <w:p w14:paraId="05B71953" w14:textId="77777777" w:rsidR="008650B8" w:rsidRDefault="00FD57E1" w:rsidP="00FD57E1">
      <w:pPr>
        <w:ind w:left="720" w:firstLine="11"/>
      </w:pPr>
      <w:r w:rsidRPr="00FA673E">
        <w:t>This relationship will be reported annually for comparison purposes.</w:t>
      </w:r>
      <w:r>
        <w:t xml:space="preserve"> </w:t>
      </w:r>
    </w:p>
    <w:p w14:paraId="5C5344EA" w14:textId="77777777" w:rsidR="008650B8" w:rsidRDefault="008650B8" w:rsidP="00FD57E1">
      <w:pPr>
        <w:ind w:left="720" w:firstLine="11"/>
      </w:pPr>
    </w:p>
    <w:p w14:paraId="0187B4F4" w14:textId="77777777" w:rsidR="00F23FEF" w:rsidRPr="00DD4B2E" w:rsidRDefault="00FD57E1" w:rsidP="008650B8">
      <w:pPr>
        <w:ind w:left="720" w:firstLine="11"/>
        <w:rPr>
          <w:color w:val="000000"/>
        </w:rPr>
      </w:pPr>
      <w:r w:rsidRPr="00DD4B2E">
        <w:rPr>
          <w:color w:val="000000"/>
        </w:rPr>
        <w:t>The rates</w:t>
      </w:r>
      <w:r w:rsidR="008650B8" w:rsidRPr="00DD4B2E">
        <w:rPr>
          <w:color w:val="000000"/>
        </w:rPr>
        <w:t xml:space="preserve"> of for lowest, mean, median and highest pay </w:t>
      </w:r>
      <w:r w:rsidRPr="00DD4B2E">
        <w:rPr>
          <w:color w:val="000000"/>
        </w:rPr>
        <w:t xml:space="preserve">are included in the </w:t>
      </w:r>
      <w:r w:rsidR="004E4B98" w:rsidRPr="00DD4B2E">
        <w:rPr>
          <w:color w:val="000000"/>
        </w:rPr>
        <w:t xml:space="preserve">Executive Summary table. </w:t>
      </w:r>
      <w:r w:rsidR="003A0E32" w:rsidRPr="00DD4B2E">
        <w:rPr>
          <w:color w:val="000000"/>
        </w:rPr>
        <w:t xml:space="preserve"> </w:t>
      </w:r>
    </w:p>
    <w:p w14:paraId="4E35B65A" w14:textId="77777777" w:rsidR="00D02997" w:rsidRDefault="00D02997" w:rsidP="00F23FEF">
      <w:pPr>
        <w:ind w:left="731" w:firstLine="11"/>
        <w:rPr>
          <w:color w:val="000000"/>
        </w:rPr>
      </w:pPr>
    </w:p>
    <w:p w14:paraId="7DA17FFF" w14:textId="77777777" w:rsidR="007E502D" w:rsidRDefault="007E502D" w:rsidP="00F23FEF">
      <w:pPr>
        <w:ind w:left="731" w:firstLine="11"/>
        <w:rPr>
          <w:color w:val="000000"/>
        </w:rPr>
      </w:pPr>
    </w:p>
    <w:p w14:paraId="37B8551F" w14:textId="77777777" w:rsidR="007E502D" w:rsidRDefault="007E502D" w:rsidP="00F23FEF">
      <w:pPr>
        <w:ind w:left="731" w:firstLine="11"/>
        <w:rPr>
          <w:color w:val="000000"/>
        </w:rPr>
      </w:pPr>
    </w:p>
    <w:p w14:paraId="35A646ED" w14:textId="77777777" w:rsidR="007E502D" w:rsidRDefault="007E502D" w:rsidP="00F23FEF">
      <w:pPr>
        <w:ind w:left="731" w:firstLine="11"/>
        <w:rPr>
          <w:color w:val="000000"/>
        </w:rPr>
      </w:pPr>
    </w:p>
    <w:p w14:paraId="6AD857A4" w14:textId="77777777" w:rsidR="00F0661F" w:rsidRDefault="00F0661F" w:rsidP="00F23FEF">
      <w:pPr>
        <w:ind w:left="731" w:firstLine="11"/>
        <w:rPr>
          <w:color w:val="000000"/>
        </w:rPr>
      </w:pPr>
    </w:p>
    <w:p w14:paraId="0E815A03" w14:textId="77777777" w:rsidR="00F0661F" w:rsidRDefault="00F0661F" w:rsidP="00F23FEF">
      <w:pPr>
        <w:ind w:left="731" w:firstLine="11"/>
        <w:rPr>
          <w:color w:val="000000"/>
        </w:rPr>
      </w:pPr>
    </w:p>
    <w:p w14:paraId="46FBC292" w14:textId="77777777" w:rsidR="007E502D" w:rsidRPr="00DD4B2E" w:rsidRDefault="007E502D" w:rsidP="00F23FEF">
      <w:pPr>
        <w:ind w:left="731" w:firstLine="11"/>
        <w:rPr>
          <w:color w:val="000000"/>
        </w:rPr>
      </w:pPr>
    </w:p>
    <w:p w14:paraId="43643806" w14:textId="77777777" w:rsidR="00A12001" w:rsidRPr="00406EF3" w:rsidRDefault="00A12001" w:rsidP="00D32888">
      <w:pPr>
        <w:pStyle w:val="ListParagraph"/>
        <w:numPr>
          <w:ilvl w:val="1"/>
          <w:numId w:val="12"/>
        </w:numPr>
        <w:spacing w:after="0" w:line="240" w:lineRule="auto"/>
        <w:rPr>
          <w:rFonts w:cs="Arial"/>
          <w:b/>
          <w:szCs w:val="24"/>
        </w:rPr>
      </w:pPr>
      <w:r w:rsidRPr="00406EF3">
        <w:rPr>
          <w:rFonts w:cs="Arial"/>
          <w:b/>
          <w:szCs w:val="24"/>
        </w:rPr>
        <w:t xml:space="preserve"> Payments made to </w:t>
      </w:r>
      <w:r w:rsidR="00222CE1" w:rsidRPr="00406EF3">
        <w:rPr>
          <w:rFonts w:cs="Arial"/>
          <w:b/>
          <w:szCs w:val="24"/>
        </w:rPr>
        <w:t>Chief Officer</w:t>
      </w:r>
      <w:r w:rsidRPr="00406EF3">
        <w:rPr>
          <w:rFonts w:cs="Arial"/>
          <w:b/>
          <w:szCs w:val="24"/>
        </w:rPr>
        <w:t xml:space="preserve">s on ceasing </w:t>
      </w:r>
      <w:proofErr w:type="gramStart"/>
      <w:r w:rsidR="009D6400" w:rsidRPr="00406EF3">
        <w:rPr>
          <w:rFonts w:cs="Arial"/>
          <w:b/>
          <w:szCs w:val="24"/>
        </w:rPr>
        <w:t>o</w:t>
      </w:r>
      <w:r w:rsidRPr="00406EF3">
        <w:rPr>
          <w:rFonts w:cs="Arial"/>
          <w:b/>
          <w:szCs w:val="24"/>
        </w:rPr>
        <w:t>ffice</w:t>
      </w:r>
      <w:proofErr w:type="gramEnd"/>
    </w:p>
    <w:p w14:paraId="76C627FA" w14:textId="77777777" w:rsidR="00D97252" w:rsidRPr="00406EF3" w:rsidRDefault="00D97252" w:rsidP="00D97252">
      <w:pPr>
        <w:pStyle w:val="ListParagraph"/>
        <w:spacing w:after="0" w:line="240" w:lineRule="auto"/>
        <w:rPr>
          <w:rFonts w:cs="Arial"/>
          <w:b/>
          <w:szCs w:val="24"/>
        </w:rPr>
      </w:pPr>
    </w:p>
    <w:p w14:paraId="2AF88DF2" w14:textId="77777777" w:rsidR="00A12001" w:rsidRPr="00406EF3" w:rsidRDefault="00A12001" w:rsidP="00D32888">
      <w:pPr>
        <w:pStyle w:val="ListParagraph"/>
        <w:numPr>
          <w:ilvl w:val="2"/>
          <w:numId w:val="12"/>
        </w:numPr>
        <w:spacing w:after="0" w:line="240" w:lineRule="auto"/>
        <w:rPr>
          <w:rFonts w:cs="Arial"/>
          <w:b/>
          <w:szCs w:val="24"/>
        </w:rPr>
      </w:pPr>
      <w:r w:rsidRPr="00406EF3">
        <w:rPr>
          <w:rFonts w:cs="Arial"/>
          <w:b/>
          <w:szCs w:val="24"/>
        </w:rPr>
        <w:t>Conduct and Capability Policies</w:t>
      </w:r>
    </w:p>
    <w:p w14:paraId="1C6A3497" w14:textId="77777777" w:rsidR="00C775F0" w:rsidRPr="00406EF3" w:rsidRDefault="00A12001" w:rsidP="00A12001">
      <w:pPr>
        <w:pStyle w:val="BodyText1"/>
        <w:ind w:left="709"/>
        <w:rPr>
          <w:rFonts w:cs="Arial"/>
          <w:color w:val="auto"/>
          <w:szCs w:val="24"/>
        </w:rPr>
      </w:pPr>
      <w:r w:rsidRPr="00406EF3">
        <w:rPr>
          <w:rFonts w:cs="Arial"/>
          <w:color w:val="auto"/>
          <w:szCs w:val="24"/>
        </w:rPr>
        <w:t>The Council’s policies are stated in the employee handbook</w:t>
      </w:r>
      <w:r w:rsidR="00C775F0" w:rsidRPr="00406EF3">
        <w:rPr>
          <w:rFonts w:cs="Arial"/>
          <w:color w:val="auto"/>
          <w:szCs w:val="24"/>
        </w:rPr>
        <w:t xml:space="preserve"> and where appropriate, also governed by the </w:t>
      </w:r>
      <w:r w:rsidR="000E48ED" w:rsidRPr="00406EF3">
        <w:rPr>
          <w:rFonts w:cs="Arial"/>
          <w:color w:val="auto"/>
          <w:szCs w:val="24"/>
        </w:rPr>
        <w:t>Council</w:t>
      </w:r>
      <w:r w:rsidR="00C775F0" w:rsidRPr="00406EF3">
        <w:rPr>
          <w:rFonts w:cs="Arial"/>
          <w:color w:val="auto"/>
          <w:szCs w:val="24"/>
        </w:rPr>
        <w:t xml:space="preserve"> </w:t>
      </w:r>
      <w:r w:rsidR="00AA6B31" w:rsidRPr="00406EF3">
        <w:rPr>
          <w:rFonts w:cs="Arial"/>
          <w:color w:val="auto"/>
          <w:szCs w:val="24"/>
        </w:rPr>
        <w:t>C</w:t>
      </w:r>
      <w:r w:rsidR="00C775F0" w:rsidRPr="00406EF3">
        <w:rPr>
          <w:rFonts w:cs="Arial"/>
          <w:color w:val="auto"/>
          <w:szCs w:val="24"/>
        </w:rPr>
        <w:t>onstitution</w:t>
      </w:r>
      <w:r w:rsidRPr="00406EF3">
        <w:rPr>
          <w:rFonts w:cs="Arial"/>
          <w:color w:val="auto"/>
          <w:szCs w:val="24"/>
        </w:rPr>
        <w:t>.</w:t>
      </w:r>
    </w:p>
    <w:p w14:paraId="317036C2" w14:textId="77777777" w:rsidR="00A12001" w:rsidRPr="00406EF3" w:rsidRDefault="00A12001" w:rsidP="00A12001">
      <w:pPr>
        <w:pStyle w:val="BodyText1"/>
        <w:ind w:left="709"/>
        <w:rPr>
          <w:rFonts w:cs="Arial"/>
          <w:color w:val="auto"/>
        </w:rPr>
      </w:pPr>
      <w:r w:rsidRPr="00406EF3">
        <w:rPr>
          <w:rFonts w:cs="Arial"/>
          <w:color w:val="auto"/>
          <w:szCs w:val="24"/>
        </w:rPr>
        <w:t>Changes and variation to these policies are made following consultation with recognised unions and formal adoption by the Appointments and Conditions of Service Committee.  For each of these policies, the scope of application is defined as follows, “</w:t>
      </w:r>
      <w:r w:rsidRPr="00406EF3">
        <w:rPr>
          <w:rFonts w:cs="Arial"/>
          <w:color w:val="auto"/>
        </w:rPr>
        <w:t xml:space="preserve">The procedure applies in general terms to all employees of the Authority covered by the terms of the National Joint </w:t>
      </w:r>
      <w:r w:rsidR="000E48ED" w:rsidRPr="00406EF3">
        <w:rPr>
          <w:rFonts w:cs="Arial"/>
          <w:color w:val="auto"/>
        </w:rPr>
        <w:t>Council</w:t>
      </w:r>
      <w:r w:rsidRPr="00406EF3">
        <w:rPr>
          <w:rFonts w:cs="Arial"/>
          <w:color w:val="auto"/>
        </w:rPr>
        <w:t xml:space="preserve"> for Local Government Services. This includes full and part-time employees and temporary employees. Employees covered by the Joint Negotiating Committees for </w:t>
      </w:r>
      <w:r w:rsidR="00222CE1" w:rsidRPr="00406EF3">
        <w:rPr>
          <w:rFonts w:cs="Arial"/>
          <w:color w:val="auto"/>
        </w:rPr>
        <w:t>Chief Officer</w:t>
      </w:r>
      <w:r w:rsidRPr="00406EF3">
        <w:rPr>
          <w:rFonts w:cs="Arial"/>
          <w:color w:val="auto"/>
        </w:rPr>
        <w:t xml:space="preserve">s and Chief Executives and posts nominated as the Council’s Monitoring and Section 151 Officers will have </w:t>
      </w:r>
      <w:proofErr w:type="gramStart"/>
      <w:r w:rsidRPr="00406EF3">
        <w:rPr>
          <w:rFonts w:cs="Arial"/>
          <w:color w:val="auto"/>
        </w:rPr>
        <w:t>particular provisions</w:t>
      </w:r>
      <w:proofErr w:type="gramEnd"/>
      <w:r w:rsidRPr="00406EF3">
        <w:rPr>
          <w:rFonts w:cs="Arial"/>
          <w:color w:val="auto"/>
        </w:rPr>
        <w:t xml:space="preserve"> applied to them under the Council’s Standing Orders </w:t>
      </w:r>
      <w:r w:rsidR="00C775F0" w:rsidRPr="00406EF3">
        <w:rPr>
          <w:rFonts w:cs="Arial"/>
          <w:color w:val="auto"/>
        </w:rPr>
        <w:t>r</w:t>
      </w:r>
      <w:r w:rsidRPr="00406EF3">
        <w:rPr>
          <w:rFonts w:cs="Arial"/>
          <w:color w:val="auto"/>
        </w:rPr>
        <w:t xml:space="preserve">elating to </w:t>
      </w:r>
      <w:r w:rsidR="00C775F0" w:rsidRPr="00406EF3">
        <w:rPr>
          <w:rFonts w:cs="Arial"/>
          <w:color w:val="auto"/>
        </w:rPr>
        <w:t>s</w:t>
      </w:r>
      <w:r w:rsidRPr="00406EF3">
        <w:rPr>
          <w:rFonts w:cs="Arial"/>
          <w:color w:val="auto"/>
        </w:rPr>
        <w:t>taff</w:t>
      </w:r>
      <w:r w:rsidR="00C775F0" w:rsidRPr="00406EF3">
        <w:rPr>
          <w:rFonts w:cs="Arial"/>
          <w:color w:val="auto"/>
        </w:rPr>
        <w:t xml:space="preserve"> [as detailed in the </w:t>
      </w:r>
      <w:r w:rsidR="000E48ED" w:rsidRPr="00406EF3">
        <w:rPr>
          <w:rFonts w:cs="Arial"/>
          <w:color w:val="auto"/>
        </w:rPr>
        <w:t>Council</w:t>
      </w:r>
      <w:r w:rsidR="00C775F0" w:rsidRPr="00406EF3">
        <w:rPr>
          <w:rFonts w:cs="Arial"/>
          <w:color w:val="auto"/>
        </w:rPr>
        <w:t xml:space="preserve"> </w:t>
      </w:r>
      <w:r w:rsidR="002B3D5C" w:rsidRPr="00406EF3">
        <w:rPr>
          <w:rFonts w:cs="Arial"/>
          <w:color w:val="auto"/>
        </w:rPr>
        <w:t>C</w:t>
      </w:r>
      <w:r w:rsidR="00C775F0" w:rsidRPr="00406EF3">
        <w:rPr>
          <w:rFonts w:cs="Arial"/>
          <w:color w:val="auto"/>
        </w:rPr>
        <w:t>onstitution and available through the Gedling Borough Council web site]</w:t>
      </w:r>
      <w:r w:rsidRPr="00406EF3">
        <w:rPr>
          <w:rFonts w:cs="Arial"/>
          <w:color w:val="auto"/>
        </w:rPr>
        <w:t>.  In these cases, this Disciplinary and Capability Procedures will be applied as closely as possible subject to such modification as may be required pursuant to those Standing Orders.</w:t>
      </w:r>
      <w:r w:rsidR="003A3C2B" w:rsidRPr="00406EF3">
        <w:rPr>
          <w:rFonts w:cs="Arial"/>
          <w:color w:val="auto"/>
        </w:rPr>
        <w:t>”</w:t>
      </w:r>
    </w:p>
    <w:p w14:paraId="38F18944" w14:textId="77777777" w:rsidR="00825A79" w:rsidRPr="00406EF3" w:rsidRDefault="003A3C2B" w:rsidP="00A12001">
      <w:pPr>
        <w:pStyle w:val="BodyText1"/>
        <w:ind w:left="709"/>
        <w:rPr>
          <w:rFonts w:cs="Arial"/>
          <w:color w:val="auto"/>
        </w:rPr>
      </w:pPr>
      <w:r w:rsidRPr="00406EF3">
        <w:rPr>
          <w:rFonts w:cs="Arial"/>
          <w:color w:val="auto"/>
        </w:rPr>
        <w:t>Subject to the above definition of application, for conduct and capability dismissals all employees will receive only statutory payments due which may, depending on circumstance include notice pay (other than in cases of gross misconduct) and outstanding untaken leave entitlement.</w:t>
      </w:r>
      <w:r w:rsidR="0052624F" w:rsidRPr="00406EF3">
        <w:rPr>
          <w:rFonts w:cs="Arial"/>
          <w:color w:val="auto"/>
        </w:rPr>
        <w:t xml:space="preserve">  </w:t>
      </w:r>
    </w:p>
    <w:p w14:paraId="252BD8E9" w14:textId="77777777" w:rsidR="0052624F" w:rsidRDefault="0052624F" w:rsidP="00A12001">
      <w:pPr>
        <w:pStyle w:val="BodyText1"/>
        <w:ind w:left="709"/>
        <w:rPr>
          <w:rFonts w:cs="Arial"/>
        </w:rPr>
      </w:pPr>
    </w:p>
    <w:p w14:paraId="1E2D2901" w14:textId="77777777" w:rsidR="003A3C2B" w:rsidRDefault="003A3C2B" w:rsidP="00D32888">
      <w:pPr>
        <w:pStyle w:val="BodyText1"/>
        <w:numPr>
          <w:ilvl w:val="2"/>
          <w:numId w:val="12"/>
        </w:numPr>
        <w:spacing w:after="0"/>
        <w:rPr>
          <w:rFonts w:cs="Arial"/>
          <w:b/>
        </w:rPr>
      </w:pPr>
      <w:r>
        <w:rPr>
          <w:rFonts w:cs="Arial"/>
          <w:b/>
        </w:rPr>
        <w:t>Ill health retirement</w:t>
      </w:r>
    </w:p>
    <w:p w14:paraId="458AD458" w14:textId="77777777" w:rsidR="003A3C2B" w:rsidRDefault="003A3C2B" w:rsidP="003A3C2B">
      <w:pPr>
        <w:pStyle w:val="BodyText1"/>
        <w:spacing w:after="0"/>
        <w:ind w:left="720"/>
        <w:rPr>
          <w:rFonts w:cs="Arial"/>
        </w:rPr>
      </w:pPr>
      <w:r>
        <w:rPr>
          <w:rFonts w:cs="Arial"/>
        </w:rPr>
        <w:t xml:space="preserve">All employees who are members of the local government pension scheme (LGPS) shall have applied to them a pension defined within the LGPS Regulations.  Obligations under law requiring the payment of an appropriate notice period or outstanding unpaid holidays are </w:t>
      </w:r>
      <w:r w:rsidRPr="003A3C2B">
        <w:rPr>
          <w:rFonts w:cs="Arial"/>
          <w:lang w:val="en-GB"/>
        </w:rPr>
        <w:t>honoured</w:t>
      </w:r>
      <w:r>
        <w:rPr>
          <w:rFonts w:cs="Arial"/>
        </w:rPr>
        <w:t xml:space="preserve">. No additional discretionary payments will be made. </w:t>
      </w:r>
      <w:r>
        <w:rPr>
          <w:rFonts w:cs="Arial"/>
          <w:b/>
        </w:rPr>
        <w:t xml:space="preserve"> </w:t>
      </w:r>
      <w:r w:rsidRPr="003A3C2B">
        <w:rPr>
          <w:rFonts w:cs="Arial"/>
        </w:rPr>
        <w:t>Authority to dismiss on grounds of ill health and authority for release of pension as determined within statute is delegated to the Chief Executive.</w:t>
      </w:r>
    </w:p>
    <w:p w14:paraId="7A010AA8" w14:textId="77777777" w:rsidR="00AB250F" w:rsidRPr="003A3C2B" w:rsidRDefault="00AB250F" w:rsidP="003A3C2B">
      <w:pPr>
        <w:pStyle w:val="BodyText1"/>
        <w:spacing w:after="0"/>
        <w:ind w:left="720"/>
        <w:rPr>
          <w:rFonts w:cs="Arial"/>
        </w:rPr>
      </w:pPr>
    </w:p>
    <w:p w14:paraId="1502D54E" w14:textId="77777777" w:rsidR="004C0085" w:rsidRDefault="004C0085" w:rsidP="00D32888">
      <w:pPr>
        <w:pStyle w:val="BodyText1"/>
        <w:numPr>
          <w:ilvl w:val="2"/>
          <w:numId w:val="12"/>
        </w:numPr>
        <w:spacing w:after="0"/>
        <w:ind w:left="709" w:firstLine="11"/>
        <w:rPr>
          <w:rFonts w:cs="Arial"/>
          <w:b/>
        </w:rPr>
      </w:pPr>
      <w:r>
        <w:rPr>
          <w:rFonts w:cs="Arial"/>
          <w:b/>
        </w:rPr>
        <w:t>Termination of employment; Redundancy</w:t>
      </w:r>
      <w:r w:rsidR="00BC6C2A">
        <w:rPr>
          <w:rFonts w:cs="Arial"/>
          <w:b/>
        </w:rPr>
        <w:t>,</w:t>
      </w:r>
      <w:r>
        <w:rPr>
          <w:rFonts w:cs="Arial"/>
          <w:b/>
        </w:rPr>
        <w:t xml:space="preserve"> </w:t>
      </w:r>
      <w:proofErr w:type="gramStart"/>
      <w:r w:rsidR="00BC6C2A">
        <w:rPr>
          <w:rFonts w:cs="Arial"/>
          <w:b/>
        </w:rPr>
        <w:t>e</w:t>
      </w:r>
      <w:r>
        <w:rPr>
          <w:rFonts w:cs="Arial"/>
          <w:b/>
        </w:rPr>
        <w:t>fficiency</w:t>
      </w:r>
      <w:proofErr w:type="gramEnd"/>
      <w:r w:rsidR="00BC6C2A">
        <w:rPr>
          <w:rFonts w:cs="Arial"/>
          <w:b/>
        </w:rPr>
        <w:t xml:space="preserve"> and general pension discretions</w:t>
      </w:r>
    </w:p>
    <w:p w14:paraId="28BDD7FF" w14:textId="7BE4E0AF" w:rsidR="00685108" w:rsidRDefault="003A209D" w:rsidP="004C0085">
      <w:pPr>
        <w:pStyle w:val="BodyText1"/>
        <w:spacing w:after="0"/>
        <w:ind w:left="709"/>
        <w:rPr>
          <w:rFonts w:cs="Arial"/>
        </w:rPr>
      </w:pPr>
      <w:r w:rsidRPr="003A209D">
        <w:rPr>
          <w:rFonts w:cs="Arial"/>
        </w:rPr>
        <w:t>The Council’s Appeals and Retirements Committee</w:t>
      </w:r>
      <w:r>
        <w:rPr>
          <w:rFonts w:cs="Arial"/>
        </w:rPr>
        <w:t xml:space="preserve"> ha</w:t>
      </w:r>
      <w:r w:rsidR="00685108">
        <w:rPr>
          <w:rFonts w:cs="Arial"/>
        </w:rPr>
        <w:t>s</w:t>
      </w:r>
      <w:r>
        <w:rPr>
          <w:rFonts w:cs="Arial"/>
        </w:rPr>
        <w:t xml:space="preserve"> authority to make payment within the approved Early Retirement and Redundancy Policy (Appendix viii)</w:t>
      </w:r>
      <w:r w:rsidR="00685108">
        <w:rPr>
          <w:rFonts w:cs="Arial"/>
        </w:rPr>
        <w:t xml:space="preserve">.  The scheme of compensatory payment is clearly identified in this policy and is based on the table of compensation defined within the Employment Rights Act 1996.  </w:t>
      </w:r>
      <w:r w:rsidR="00BC6C2A">
        <w:rPr>
          <w:rFonts w:cs="Arial"/>
        </w:rPr>
        <w:t>Under this local policy, f</w:t>
      </w:r>
      <w:r w:rsidR="00685108">
        <w:rPr>
          <w:rFonts w:cs="Arial"/>
        </w:rPr>
        <w:t>or redundancy, payment</w:t>
      </w:r>
      <w:r w:rsidR="004A2E13">
        <w:rPr>
          <w:rFonts w:cs="Arial"/>
        </w:rPr>
        <w:t xml:space="preserve"> including both statutory and discretionary payments</w:t>
      </w:r>
      <w:r w:rsidR="00685108">
        <w:rPr>
          <w:rFonts w:cs="Arial"/>
        </w:rPr>
        <w:t xml:space="preserve"> is limited to a maximum of </w:t>
      </w:r>
      <w:r w:rsidR="002264FF">
        <w:rPr>
          <w:rFonts w:cs="Arial"/>
        </w:rPr>
        <w:t>3</w:t>
      </w:r>
      <w:r w:rsidR="00FD35BC">
        <w:rPr>
          <w:rFonts w:cs="Arial"/>
        </w:rPr>
        <w:t>0</w:t>
      </w:r>
      <w:r w:rsidR="00685108">
        <w:rPr>
          <w:rFonts w:cs="Arial"/>
        </w:rPr>
        <w:t xml:space="preserve"> weeks’ pay and </w:t>
      </w:r>
      <w:r w:rsidR="00FD35BC">
        <w:rPr>
          <w:rFonts w:cs="Arial"/>
        </w:rPr>
        <w:t>nine</w:t>
      </w:r>
      <w:r w:rsidR="00685108">
        <w:rPr>
          <w:rFonts w:cs="Arial"/>
        </w:rPr>
        <w:t xml:space="preserve"> weeks’ pay for dismissal for reason of ‘efficiency of service’.  </w:t>
      </w:r>
    </w:p>
    <w:p w14:paraId="16141021" w14:textId="77777777" w:rsidR="00685108" w:rsidRDefault="00685108" w:rsidP="004C0085">
      <w:pPr>
        <w:pStyle w:val="BodyText1"/>
        <w:spacing w:after="0"/>
        <w:ind w:left="709"/>
        <w:rPr>
          <w:rFonts w:cs="Arial"/>
        </w:rPr>
      </w:pPr>
    </w:p>
    <w:p w14:paraId="1ABB8833" w14:textId="77777777" w:rsidR="00685108" w:rsidRDefault="00685108" w:rsidP="004C0085">
      <w:pPr>
        <w:pStyle w:val="BodyText1"/>
        <w:spacing w:after="0"/>
        <w:ind w:left="709"/>
        <w:rPr>
          <w:rFonts w:cs="Arial"/>
        </w:rPr>
      </w:pPr>
      <w:r>
        <w:rPr>
          <w:rFonts w:cs="Arial"/>
        </w:rPr>
        <w:t xml:space="preserve">The policies relating to redundancy and ‘efficiency of service’ are formally adopted by the Council and are drafted within the </w:t>
      </w:r>
      <w:r w:rsidR="009D6400">
        <w:rPr>
          <w:rFonts w:cs="Arial"/>
        </w:rPr>
        <w:t xml:space="preserve">legislative framework of the Local Government (Early Termination of </w:t>
      </w:r>
      <w:proofErr w:type="gramStart"/>
      <w:r w:rsidR="009D6400">
        <w:rPr>
          <w:rFonts w:cs="Arial"/>
        </w:rPr>
        <w:t>Employment)(</w:t>
      </w:r>
      <w:proofErr w:type="gramEnd"/>
      <w:r w:rsidR="009D6400">
        <w:rPr>
          <w:rFonts w:cs="Arial"/>
        </w:rPr>
        <w:t>Discretionary Payments) (England and Wales) Regulations 2006.  Specifically, the policies reflect the need to define “a week’s pay” and</w:t>
      </w:r>
      <w:r w:rsidR="00011498">
        <w:rPr>
          <w:rFonts w:cs="Arial"/>
        </w:rPr>
        <w:t xml:space="preserve"> to detail</w:t>
      </w:r>
      <w:r w:rsidR="009D6400">
        <w:rPr>
          <w:rFonts w:cs="Arial"/>
        </w:rPr>
        <w:t xml:space="preserve"> the </w:t>
      </w:r>
      <w:r w:rsidR="00011498">
        <w:rPr>
          <w:rFonts w:cs="Arial"/>
        </w:rPr>
        <w:t xml:space="preserve">Council’s </w:t>
      </w:r>
      <w:r w:rsidR="009D6400">
        <w:rPr>
          <w:rFonts w:cs="Arial"/>
        </w:rPr>
        <w:t>severance payment</w:t>
      </w:r>
      <w:r w:rsidR="00011498">
        <w:rPr>
          <w:rFonts w:cs="Arial"/>
        </w:rPr>
        <w:t>s</w:t>
      </w:r>
      <w:r w:rsidR="009D6400">
        <w:rPr>
          <w:rFonts w:cs="Arial"/>
        </w:rPr>
        <w:t>.  For removal of doubt, the Council currently defines “a week’s pay” for the purpose of calculation of compensatory redundancy payments as “actual pay” rather than the statutory maximum figure.</w:t>
      </w:r>
      <w:r w:rsidR="00BC6C2A">
        <w:rPr>
          <w:rFonts w:cs="Arial"/>
        </w:rPr>
        <w:t xml:space="preserve">  </w:t>
      </w:r>
    </w:p>
    <w:p w14:paraId="2764C793" w14:textId="77777777" w:rsidR="00685108" w:rsidRDefault="00685108" w:rsidP="004C0085">
      <w:pPr>
        <w:pStyle w:val="BodyText1"/>
        <w:spacing w:after="0"/>
        <w:ind w:left="709"/>
        <w:rPr>
          <w:rFonts w:cs="Arial"/>
        </w:rPr>
      </w:pPr>
    </w:p>
    <w:p w14:paraId="60490AF9" w14:textId="77777777" w:rsidR="00BC6C2A" w:rsidRPr="00BC6C2A" w:rsidRDefault="00BC6C2A" w:rsidP="00BC6C2A">
      <w:pPr>
        <w:pStyle w:val="BodyText1"/>
        <w:ind w:left="709"/>
        <w:rPr>
          <w:rFonts w:cs="Arial"/>
          <w:lang w:val="en-GB"/>
        </w:rPr>
      </w:pPr>
      <w:r>
        <w:rPr>
          <w:rFonts w:cs="Arial"/>
          <w:lang w:val="en-GB"/>
        </w:rPr>
        <w:t>A</w:t>
      </w:r>
      <w:r w:rsidRPr="00BC6C2A">
        <w:rPr>
          <w:rFonts w:cs="Arial"/>
          <w:lang w:val="en-GB"/>
        </w:rPr>
        <w:t xml:space="preserve">ccess to the full set of local pension discretions required under Regulation 60(5) of the LGPS 2013 are shown on the </w:t>
      </w:r>
      <w:r w:rsidR="000E48ED">
        <w:rPr>
          <w:rFonts w:cs="Arial"/>
          <w:lang w:val="en-GB"/>
        </w:rPr>
        <w:t>Council</w:t>
      </w:r>
      <w:r w:rsidRPr="00BC6C2A">
        <w:rPr>
          <w:rFonts w:cs="Arial"/>
          <w:lang w:val="en-GB"/>
        </w:rPr>
        <w:t>’s website under the “How we work” section at</w:t>
      </w:r>
      <w:r>
        <w:rPr>
          <w:rFonts w:cs="Arial"/>
          <w:lang w:val="en-GB"/>
        </w:rPr>
        <w:t xml:space="preserve"> </w:t>
      </w:r>
      <w:hyperlink r:id="rId12" w:history="1">
        <w:r w:rsidR="00581587">
          <w:rPr>
            <w:rStyle w:val="Hyperlink"/>
          </w:rPr>
          <w:t>https://www.gedling.gov.uk/media/gedlingboroughcouncil/documents/council/aboutus/policies/Pension%20Discretions%20Policy%20(July%202019).pdf</w:t>
        </w:r>
      </w:hyperlink>
    </w:p>
    <w:p w14:paraId="6D36D19D" w14:textId="77777777" w:rsidR="00BC6C2A" w:rsidRDefault="00BC6C2A" w:rsidP="00BC6C2A">
      <w:pPr>
        <w:pStyle w:val="BodyText1"/>
        <w:ind w:left="709"/>
        <w:rPr>
          <w:rFonts w:cs="Arial"/>
        </w:rPr>
      </w:pPr>
      <w:r w:rsidRPr="00BC6C2A">
        <w:rPr>
          <w:rFonts w:cs="Arial"/>
          <w:lang w:val="en-GB"/>
        </w:rPr>
        <w:t xml:space="preserve">These discretions were approved as formal policy of the </w:t>
      </w:r>
      <w:r w:rsidR="000E48ED">
        <w:rPr>
          <w:rFonts w:cs="Arial"/>
          <w:lang w:val="en-GB"/>
        </w:rPr>
        <w:t>Council</w:t>
      </w:r>
      <w:r w:rsidRPr="00BC6C2A">
        <w:rPr>
          <w:rFonts w:cs="Arial"/>
          <w:lang w:val="en-GB"/>
        </w:rPr>
        <w:t xml:space="preserve"> by the Appointments and Conditions of Service Committee in March 2015</w:t>
      </w:r>
      <w:r>
        <w:rPr>
          <w:rFonts w:cs="Arial"/>
          <w:lang w:val="en-GB"/>
        </w:rPr>
        <w:t xml:space="preserve"> </w:t>
      </w:r>
      <w:r w:rsidR="00581587">
        <w:rPr>
          <w:rFonts w:cs="Arial"/>
          <w:lang w:val="en-GB"/>
        </w:rPr>
        <w:t xml:space="preserve">and subsequently updated in July 2019 </w:t>
      </w:r>
      <w:r>
        <w:rPr>
          <w:rFonts w:cs="Arial"/>
          <w:lang w:val="en-GB"/>
        </w:rPr>
        <w:t>and detail the full range of policy decisions made that relate to payment of, or limitation to payment of pension benefits applicable to any employee</w:t>
      </w:r>
      <w:r w:rsidRPr="00BC6C2A">
        <w:rPr>
          <w:rFonts w:cs="Arial"/>
          <w:lang w:val="en-GB"/>
        </w:rPr>
        <w:t xml:space="preserve">.  </w:t>
      </w:r>
    </w:p>
    <w:p w14:paraId="6B146819" w14:textId="77777777" w:rsidR="004C0085" w:rsidRDefault="00685108" w:rsidP="004C0085">
      <w:pPr>
        <w:pStyle w:val="BodyText1"/>
        <w:spacing w:after="0"/>
        <w:ind w:left="709"/>
        <w:rPr>
          <w:rFonts w:cs="Arial"/>
        </w:rPr>
      </w:pPr>
      <w:r>
        <w:rPr>
          <w:rFonts w:cs="Arial"/>
        </w:rPr>
        <w:t xml:space="preserve">The Council’s Flexible Retirement Policy is shown at </w:t>
      </w:r>
      <w:r w:rsidR="0005155F">
        <w:rPr>
          <w:rFonts w:cs="Arial"/>
        </w:rPr>
        <w:t>Appendix viii</w:t>
      </w:r>
      <w:r w:rsidR="00346D92">
        <w:rPr>
          <w:rFonts w:cs="Arial"/>
        </w:rPr>
        <w:t xml:space="preserve"> a</w:t>
      </w:r>
      <w:r>
        <w:rPr>
          <w:rFonts w:cs="Arial"/>
        </w:rPr>
        <w:t xml:space="preserve">.    </w:t>
      </w:r>
    </w:p>
    <w:p w14:paraId="08EA6EDD" w14:textId="77777777" w:rsidR="00685108" w:rsidRDefault="00685108" w:rsidP="004C0085">
      <w:pPr>
        <w:pStyle w:val="BodyText1"/>
        <w:spacing w:after="0"/>
        <w:ind w:left="709"/>
        <w:rPr>
          <w:rFonts w:cs="Arial"/>
        </w:rPr>
      </w:pPr>
    </w:p>
    <w:p w14:paraId="24ABB76E" w14:textId="168C85C6" w:rsidR="0052624F" w:rsidRDefault="00685108" w:rsidP="0052624F">
      <w:pPr>
        <w:pStyle w:val="BodyText1"/>
        <w:ind w:left="709"/>
        <w:rPr>
          <w:rFonts w:cs="Arial"/>
          <w:color w:val="FF0000"/>
        </w:rPr>
      </w:pPr>
      <w:r>
        <w:rPr>
          <w:rFonts w:cs="Arial"/>
        </w:rPr>
        <w:t xml:space="preserve">All employees, including </w:t>
      </w:r>
      <w:r w:rsidR="00222CE1">
        <w:rPr>
          <w:rFonts w:cs="Arial"/>
        </w:rPr>
        <w:t>Chief Officer</w:t>
      </w:r>
      <w:r>
        <w:rPr>
          <w:rFonts w:cs="Arial"/>
        </w:rPr>
        <w:t xml:space="preserve">s are covered by these </w:t>
      </w:r>
      <w:r w:rsidR="0052624F">
        <w:rPr>
          <w:rFonts w:cs="Arial"/>
        </w:rPr>
        <w:t xml:space="preserve">general </w:t>
      </w:r>
      <w:r>
        <w:rPr>
          <w:rFonts w:cs="Arial"/>
        </w:rPr>
        <w:t xml:space="preserve">policy </w:t>
      </w:r>
      <w:r w:rsidRPr="007F7114">
        <w:rPr>
          <w:rFonts w:cs="Arial"/>
          <w:color w:val="auto"/>
        </w:rPr>
        <w:t xml:space="preserve">arrangements. </w:t>
      </w:r>
      <w:r w:rsidR="0052624F" w:rsidRPr="007F7114">
        <w:rPr>
          <w:rFonts w:cs="Arial"/>
          <w:color w:val="auto"/>
        </w:rPr>
        <w:t>Section</w:t>
      </w:r>
      <w:r w:rsidR="00715336">
        <w:rPr>
          <w:rFonts w:cs="Arial"/>
          <w:color w:val="auto"/>
        </w:rPr>
        <w:t>s</w:t>
      </w:r>
      <w:r w:rsidR="0052624F" w:rsidRPr="007F7114">
        <w:rPr>
          <w:rFonts w:cs="Arial"/>
          <w:color w:val="auto"/>
        </w:rPr>
        <w:t xml:space="preserve"> 3.</w:t>
      </w:r>
      <w:r w:rsidR="004A2E13">
        <w:rPr>
          <w:rFonts w:cs="Arial"/>
          <w:color w:val="auto"/>
        </w:rPr>
        <w:t>2.10-11</w:t>
      </w:r>
      <w:r w:rsidR="0052624F" w:rsidRPr="007F7114">
        <w:rPr>
          <w:rFonts w:cs="Arial"/>
          <w:color w:val="auto"/>
        </w:rPr>
        <w:t xml:space="preserve"> </w:t>
      </w:r>
      <w:r w:rsidR="004A2E13">
        <w:rPr>
          <w:rFonts w:cs="Arial"/>
          <w:color w:val="auto"/>
        </w:rPr>
        <w:t>above</w:t>
      </w:r>
      <w:r w:rsidR="00FD35BC">
        <w:rPr>
          <w:rFonts w:cs="Arial"/>
          <w:color w:val="auto"/>
        </w:rPr>
        <w:t>,</w:t>
      </w:r>
      <w:r w:rsidR="004A2E13">
        <w:rPr>
          <w:rFonts w:cs="Arial"/>
          <w:color w:val="auto"/>
        </w:rPr>
        <w:t xml:space="preserve"> </w:t>
      </w:r>
      <w:r w:rsidR="0052624F" w:rsidRPr="007F7114">
        <w:rPr>
          <w:rFonts w:cs="Arial"/>
          <w:color w:val="auto"/>
        </w:rPr>
        <w:t>detail the special arrangement</w:t>
      </w:r>
      <w:r w:rsidR="004A2E13">
        <w:rPr>
          <w:rFonts w:cs="Arial"/>
          <w:color w:val="auto"/>
        </w:rPr>
        <w:t>s</w:t>
      </w:r>
      <w:r w:rsidR="0052624F" w:rsidRPr="007F7114">
        <w:rPr>
          <w:rFonts w:cs="Arial"/>
          <w:color w:val="auto"/>
        </w:rPr>
        <w:t xml:space="preserve"> applying to “senior posts” </w:t>
      </w:r>
      <w:r w:rsidR="004A2E13">
        <w:rPr>
          <w:rFonts w:cs="Arial"/>
          <w:color w:val="auto"/>
        </w:rPr>
        <w:t xml:space="preserve">both </w:t>
      </w:r>
      <w:r w:rsidR="0052624F" w:rsidRPr="007F7114">
        <w:rPr>
          <w:rFonts w:cs="Arial"/>
          <w:color w:val="auto"/>
        </w:rPr>
        <w:t>in respect to appointment and</w:t>
      </w:r>
      <w:r w:rsidR="004A2E13">
        <w:rPr>
          <w:rFonts w:cs="Arial"/>
          <w:color w:val="auto"/>
        </w:rPr>
        <w:t xml:space="preserve"> dismissal</w:t>
      </w:r>
      <w:r w:rsidR="0052624F" w:rsidRPr="007F7114">
        <w:rPr>
          <w:rFonts w:cs="Arial"/>
          <w:color w:val="auto"/>
        </w:rPr>
        <w:t>.</w:t>
      </w:r>
      <w:r w:rsidR="0052624F" w:rsidRPr="009E19B7">
        <w:rPr>
          <w:rFonts w:cs="Arial"/>
          <w:color w:val="FF0000"/>
        </w:rPr>
        <w:t xml:space="preserve"> </w:t>
      </w:r>
      <w:r w:rsidR="00BC6C2A">
        <w:rPr>
          <w:rFonts w:cs="Arial"/>
          <w:color w:val="FF0000"/>
        </w:rPr>
        <w:t xml:space="preserve"> </w:t>
      </w:r>
    </w:p>
    <w:p w14:paraId="23EE6B1D" w14:textId="0C900EC1" w:rsidR="00B27963" w:rsidRDefault="00B27963" w:rsidP="0052624F">
      <w:pPr>
        <w:pStyle w:val="BodyText1"/>
        <w:ind w:left="709"/>
        <w:rPr>
          <w:rFonts w:cs="Arial"/>
          <w:color w:val="FF0000"/>
        </w:rPr>
      </w:pPr>
    </w:p>
    <w:p w14:paraId="0D92C614" w14:textId="649E3005" w:rsidR="00B27963" w:rsidRPr="00B27963" w:rsidRDefault="00B27963" w:rsidP="0052624F">
      <w:pPr>
        <w:pStyle w:val="BodyText1"/>
        <w:ind w:left="709"/>
        <w:rPr>
          <w:rFonts w:cs="Arial"/>
          <w:color w:val="auto"/>
        </w:rPr>
      </w:pPr>
      <w:r>
        <w:rPr>
          <w:rFonts w:cs="Arial"/>
          <w:color w:val="auto"/>
        </w:rPr>
        <w:t>The policy relating to Special Severance Payments is detailed at Appendix ix of the Pay Policy Statement.</w:t>
      </w:r>
    </w:p>
    <w:p w14:paraId="6AA8B1B4" w14:textId="77777777" w:rsidR="004C0085" w:rsidRDefault="004C0085" w:rsidP="004C0085">
      <w:pPr>
        <w:pStyle w:val="BodyText1"/>
        <w:spacing w:after="0"/>
        <w:ind w:left="1440"/>
        <w:rPr>
          <w:rFonts w:cs="Arial"/>
          <w:b/>
        </w:rPr>
      </w:pPr>
    </w:p>
    <w:p w14:paraId="64B62FD0" w14:textId="77777777" w:rsidR="002B79C2" w:rsidRPr="00CD4B48" w:rsidRDefault="002B79C2" w:rsidP="002B79C2">
      <w:pPr>
        <w:pStyle w:val="ListParagraph"/>
        <w:spacing w:after="0" w:line="240" w:lineRule="auto"/>
        <w:ind w:left="360"/>
        <w:rPr>
          <w:rFonts w:cs="Arial"/>
          <w:b/>
          <w:color w:val="000000"/>
          <w:szCs w:val="24"/>
        </w:rPr>
      </w:pPr>
    </w:p>
    <w:p w14:paraId="3C552E35" w14:textId="77777777" w:rsidR="002B79C2" w:rsidRPr="00CD4B48" w:rsidRDefault="00FB0888" w:rsidP="00D32888">
      <w:pPr>
        <w:numPr>
          <w:ilvl w:val="0"/>
          <w:numId w:val="5"/>
        </w:numPr>
        <w:rPr>
          <w:rFonts w:eastAsia="Calibri" w:cs="Arial"/>
          <w:b/>
          <w:color w:val="000000"/>
          <w:szCs w:val="24"/>
        </w:rPr>
      </w:pPr>
      <w:r w:rsidRPr="00CD4B48">
        <w:rPr>
          <w:rFonts w:eastAsia="Calibri" w:cs="Arial"/>
          <w:b/>
          <w:color w:val="000000"/>
          <w:szCs w:val="24"/>
        </w:rPr>
        <w:t>Review and p</w:t>
      </w:r>
      <w:r w:rsidR="002B79C2" w:rsidRPr="00CD4B48">
        <w:rPr>
          <w:rFonts w:eastAsia="Calibri" w:cs="Arial"/>
          <w:b/>
          <w:color w:val="000000"/>
          <w:szCs w:val="24"/>
        </w:rPr>
        <w:t>ublication</w:t>
      </w:r>
    </w:p>
    <w:p w14:paraId="2ADA7375" w14:textId="77777777" w:rsidR="00D97252" w:rsidRPr="00CD4B48" w:rsidRDefault="00D97252" w:rsidP="00D97252">
      <w:pPr>
        <w:pStyle w:val="ListParagraph"/>
        <w:spacing w:after="0" w:line="240" w:lineRule="auto"/>
        <w:ind w:left="360"/>
        <w:rPr>
          <w:rFonts w:cs="Arial"/>
          <w:color w:val="000000"/>
          <w:szCs w:val="24"/>
        </w:rPr>
      </w:pPr>
      <w:r w:rsidRPr="00CD4B48">
        <w:rPr>
          <w:rFonts w:cs="Arial"/>
          <w:color w:val="000000"/>
          <w:szCs w:val="24"/>
        </w:rPr>
        <w:t>This Pay Policy Statement will be reviewed annually and reported to Council for approval.</w:t>
      </w:r>
    </w:p>
    <w:p w14:paraId="198C1EEE" w14:textId="77777777" w:rsidR="00D97252" w:rsidRPr="00CD4B48" w:rsidRDefault="00D97252" w:rsidP="00D97252">
      <w:pPr>
        <w:pStyle w:val="ListParagraph"/>
        <w:spacing w:after="0" w:line="240" w:lineRule="auto"/>
        <w:ind w:left="360"/>
        <w:rPr>
          <w:rFonts w:cs="Arial"/>
          <w:color w:val="000000"/>
          <w:szCs w:val="24"/>
        </w:rPr>
      </w:pPr>
    </w:p>
    <w:p w14:paraId="2F8B589E" w14:textId="77777777" w:rsidR="00D97252" w:rsidRPr="00CD4B48" w:rsidRDefault="00D97252" w:rsidP="00D97252">
      <w:pPr>
        <w:pStyle w:val="ListParagraph"/>
        <w:spacing w:after="0" w:line="240" w:lineRule="auto"/>
        <w:ind w:left="360"/>
        <w:rPr>
          <w:rFonts w:cs="Arial"/>
          <w:color w:val="000000"/>
          <w:szCs w:val="24"/>
        </w:rPr>
      </w:pPr>
      <w:r w:rsidRPr="00CD4B48">
        <w:rPr>
          <w:rFonts w:cs="Arial"/>
          <w:color w:val="000000"/>
          <w:szCs w:val="24"/>
        </w:rPr>
        <w:t>The Statement will be made available to the public on the Council’s website</w:t>
      </w:r>
      <w:r w:rsidR="00C652A4" w:rsidRPr="00CD4B48">
        <w:rPr>
          <w:rFonts w:cs="Arial"/>
          <w:color w:val="000000"/>
          <w:szCs w:val="24"/>
        </w:rPr>
        <w:t xml:space="preserve"> and will be included in the Council’s Publications’ Scheme</w:t>
      </w:r>
      <w:r w:rsidR="0021065D" w:rsidRPr="00CD4B48">
        <w:rPr>
          <w:rFonts w:cs="Arial"/>
          <w:color w:val="000000"/>
          <w:szCs w:val="24"/>
        </w:rPr>
        <w:t xml:space="preserve"> in a format that complies with regulations governing transparency</w:t>
      </w:r>
      <w:r w:rsidRPr="00CD4B48">
        <w:rPr>
          <w:rFonts w:cs="Arial"/>
          <w:color w:val="000000"/>
          <w:szCs w:val="24"/>
        </w:rPr>
        <w:t xml:space="preserve">. </w:t>
      </w:r>
    </w:p>
    <w:p w14:paraId="0FD37C2B" w14:textId="77777777" w:rsidR="00346D92" w:rsidRDefault="00346D92" w:rsidP="00175585">
      <w:pPr>
        <w:pStyle w:val="ListParagraph"/>
        <w:spacing w:after="0" w:line="240" w:lineRule="auto"/>
        <w:ind w:left="360"/>
        <w:jc w:val="right"/>
        <w:rPr>
          <w:rFonts w:cs="Arial"/>
          <w:color w:val="FF0000"/>
          <w:szCs w:val="24"/>
        </w:rPr>
      </w:pPr>
    </w:p>
    <w:p w14:paraId="3F4F3E22" w14:textId="77777777" w:rsidR="00F613DC" w:rsidRDefault="00F613DC" w:rsidP="00175585">
      <w:pPr>
        <w:pStyle w:val="ListParagraph"/>
        <w:spacing w:after="0" w:line="240" w:lineRule="auto"/>
        <w:ind w:left="360"/>
        <w:jc w:val="right"/>
        <w:rPr>
          <w:rFonts w:cs="Arial"/>
          <w:color w:val="FF0000"/>
          <w:szCs w:val="24"/>
        </w:rPr>
      </w:pPr>
      <w:r>
        <w:rPr>
          <w:rFonts w:cs="Arial"/>
          <w:color w:val="FF0000"/>
          <w:szCs w:val="24"/>
        </w:rPr>
        <w:br w:type="page"/>
      </w:r>
    </w:p>
    <w:p w14:paraId="5E0F8740" w14:textId="77777777" w:rsidR="00F613DC" w:rsidRDefault="00F613DC" w:rsidP="00175585">
      <w:pPr>
        <w:pStyle w:val="ListParagraph"/>
        <w:spacing w:after="0" w:line="240" w:lineRule="auto"/>
        <w:ind w:left="360"/>
        <w:jc w:val="right"/>
        <w:rPr>
          <w:rFonts w:cs="Arial"/>
          <w:color w:val="FF0000"/>
          <w:szCs w:val="24"/>
        </w:rPr>
      </w:pPr>
    </w:p>
    <w:p w14:paraId="14C4877B" w14:textId="77777777" w:rsidR="00F613DC" w:rsidRDefault="00F613DC" w:rsidP="00175585">
      <w:pPr>
        <w:pStyle w:val="ListParagraph"/>
        <w:spacing w:after="0" w:line="240" w:lineRule="auto"/>
        <w:ind w:left="360"/>
        <w:jc w:val="right"/>
        <w:rPr>
          <w:rFonts w:cs="Arial"/>
          <w:color w:val="FF0000"/>
          <w:szCs w:val="24"/>
        </w:rPr>
      </w:pPr>
    </w:p>
    <w:p w14:paraId="528E3C5E" w14:textId="77777777" w:rsidR="005C25F3" w:rsidRDefault="00F613DC" w:rsidP="00F613DC">
      <w:pPr>
        <w:pStyle w:val="ListParagraph"/>
        <w:spacing w:after="0" w:line="240" w:lineRule="auto"/>
        <w:ind w:left="360"/>
        <w:jc w:val="center"/>
        <w:rPr>
          <w:rFonts w:cs="Arial"/>
          <w:b/>
          <w:color w:val="000000"/>
          <w:sz w:val="32"/>
          <w:szCs w:val="32"/>
        </w:rPr>
      </w:pPr>
      <w:r w:rsidRPr="00762F24">
        <w:rPr>
          <w:rFonts w:cs="Arial"/>
          <w:b/>
          <w:color w:val="000000"/>
          <w:sz w:val="32"/>
          <w:szCs w:val="32"/>
        </w:rPr>
        <w:t>Appendices</w:t>
      </w:r>
    </w:p>
    <w:p w14:paraId="35AED550" w14:textId="77777777" w:rsidR="005C25F3" w:rsidRDefault="005C25F3" w:rsidP="00F613DC">
      <w:pPr>
        <w:pStyle w:val="ListParagraph"/>
        <w:spacing w:after="0" w:line="240" w:lineRule="auto"/>
        <w:ind w:left="360"/>
        <w:jc w:val="center"/>
        <w:rPr>
          <w:rFonts w:cs="Arial"/>
          <w:b/>
          <w:color w:val="000000"/>
          <w:sz w:val="32"/>
          <w:szCs w:val="32"/>
        </w:rPr>
      </w:pPr>
    </w:p>
    <w:p w14:paraId="0F3A3EE0" w14:textId="77777777" w:rsidR="005C25F3" w:rsidRDefault="005C25F3" w:rsidP="00F613DC">
      <w:pPr>
        <w:pStyle w:val="ListParagraph"/>
        <w:spacing w:after="0" w:line="240" w:lineRule="auto"/>
        <w:ind w:left="360"/>
        <w:jc w:val="center"/>
        <w:rPr>
          <w:rFonts w:cs="Arial"/>
          <w:b/>
          <w:color w:val="000000"/>
          <w:sz w:val="32"/>
          <w:szCs w:val="32"/>
        </w:rPr>
      </w:pPr>
    </w:p>
    <w:p w14:paraId="488ABE90" w14:textId="77777777" w:rsidR="00D97252" w:rsidRPr="009E719E" w:rsidRDefault="00222CE1" w:rsidP="005C25F3">
      <w:pPr>
        <w:pStyle w:val="ListParagraph"/>
        <w:spacing w:after="0" w:line="240" w:lineRule="auto"/>
        <w:ind w:left="360"/>
        <w:jc w:val="right"/>
        <w:rPr>
          <w:rFonts w:cs="Arial"/>
          <w:color w:val="000000"/>
          <w:szCs w:val="24"/>
        </w:rPr>
      </w:pPr>
      <w:r w:rsidRPr="00BC6C2A">
        <w:rPr>
          <w:rFonts w:cs="Arial"/>
          <w:color w:val="FF0000"/>
          <w:szCs w:val="24"/>
        </w:rPr>
        <w:br w:type="page"/>
      </w:r>
      <w:r w:rsidR="00175585" w:rsidRPr="009E719E">
        <w:rPr>
          <w:rFonts w:cs="Arial"/>
          <w:color w:val="000000"/>
          <w:szCs w:val="24"/>
        </w:rPr>
        <w:t xml:space="preserve">Appendix </w:t>
      </w:r>
      <w:r w:rsidR="00696107">
        <w:rPr>
          <w:rFonts w:cs="Arial"/>
          <w:color w:val="000000"/>
          <w:szCs w:val="24"/>
        </w:rPr>
        <w:t>i</w:t>
      </w:r>
      <w:r w:rsidR="00175585" w:rsidRPr="009E719E">
        <w:rPr>
          <w:rFonts w:cs="Arial"/>
          <w:color w:val="000000"/>
          <w:szCs w:val="24"/>
        </w:rPr>
        <w:t>A</w:t>
      </w:r>
    </w:p>
    <w:p w14:paraId="0DBD7414" w14:textId="77777777" w:rsidR="00175585" w:rsidRPr="00175585" w:rsidRDefault="00175585" w:rsidP="00175585">
      <w:pPr>
        <w:jc w:val="center"/>
        <w:rPr>
          <w:rFonts w:cs="Arial"/>
          <w:b/>
          <w:sz w:val="28"/>
          <w:szCs w:val="28"/>
        </w:rPr>
      </w:pPr>
      <w:r w:rsidRPr="00175585">
        <w:rPr>
          <w:rFonts w:cs="Arial"/>
          <w:b/>
          <w:sz w:val="28"/>
          <w:szCs w:val="28"/>
        </w:rPr>
        <w:t>Pay Strategy</w:t>
      </w:r>
    </w:p>
    <w:p w14:paraId="381AEDF8" w14:textId="77777777" w:rsidR="00175585" w:rsidRPr="00175585" w:rsidRDefault="00175585" w:rsidP="00175585">
      <w:pPr>
        <w:ind w:left="426"/>
        <w:rPr>
          <w:rFonts w:cs="Arial"/>
          <w:b/>
          <w:sz w:val="28"/>
          <w:szCs w:val="28"/>
        </w:rPr>
      </w:pPr>
    </w:p>
    <w:p w14:paraId="7C28209A" w14:textId="77777777" w:rsidR="00175585" w:rsidRPr="00175585" w:rsidRDefault="00175585" w:rsidP="00175585">
      <w:pPr>
        <w:ind w:left="426"/>
        <w:rPr>
          <w:rFonts w:cs="Arial"/>
          <w:b/>
          <w:sz w:val="28"/>
          <w:szCs w:val="28"/>
        </w:rPr>
      </w:pPr>
    </w:p>
    <w:p w14:paraId="2A77A829" w14:textId="77777777" w:rsidR="00175585" w:rsidRPr="00175585" w:rsidRDefault="00175585" w:rsidP="00175585">
      <w:pPr>
        <w:ind w:left="426"/>
        <w:rPr>
          <w:rFonts w:cs="Arial"/>
          <w:b/>
          <w:sz w:val="28"/>
          <w:szCs w:val="28"/>
        </w:rPr>
      </w:pPr>
      <w:r w:rsidRPr="00175585">
        <w:rPr>
          <w:rFonts w:cs="Arial"/>
          <w:b/>
          <w:sz w:val="28"/>
          <w:szCs w:val="28"/>
        </w:rPr>
        <w:t>Purpose</w:t>
      </w:r>
    </w:p>
    <w:p w14:paraId="4B7AFC3E" w14:textId="77777777" w:rsidR="00175585" w:rsidRPr="00175585" w:rsidRDefault="00175585" w:rsidP="00175585">
      <w:pPr>
        <w:ind w:left="426"/>
        <w:rPr>
          <w:rFonts w:cs="Arial"/>
          <w:szCs w:val="24"/>
        </w:rPr>
      </w:pPr>
    </w:p>
    <w:p w14:paraId="482BBE13" w14:textId="77777777" w:rsidR="00175585" w:rsidRPr="00175585" w:rsidRDefault="00175585" w:rsidP="00175585">
      <w:pPr>
        <w:ind w:left="426"/>
        <w:rPr>
          <w:rFonts w:cs="Arial"/>
          <w:szCs w:val="24"/>
        </w:rPr>
      </w:pPr>
      <w:r w:rsidRPr="00175585">
        <w:rPr>
          <w:rFonts w:cs="Arial"/>
          <w:szCs w:val="24"/>
        </w:rPr>
        <w:t>This strategy identifies the principles by which pay is governed in the organisation and specifies how these principles are embedded in practice.</w:t>
      </w:r>
    </w:p>
    <w:p w14:paraId="5127B9CA" w14:textId="77777777" w:rsidR="00175585" w:rsidRPr="00175585" w:rsidRDefault="00175585" w:rsidP="00175585">
      <w:pPr>
        <w:ind w:left="426"/>
        <w:rPr>
          <w:rFonts w:cs="Arial"/>
          <w:b/>
          <w:sz w:val="28"/>
          <w:szCs w:val="28"/>
        </w:rPr>
      </w:pPr>
    </w:p>
    <w:p w14:paraId="7C0F60E2" w14:textId="77777777" w:rsidR="00175585" w:rsidRPr="00175585" w:rsidRDefault="00175585" w:rsidP="00175585">
      <w:pPr>
        <w:ind w:left="426"/>
        <w:rPr>
          <w:rFonts w:cs="Arial"/>
          <w:b/>
          <w:sz w:val="28"/>
          <w:szCs w:val="28"/>
        </w:rPr>
      </w:pPr>
      <w:r w:rsidRPr="00175585">
        <w:rPr>
          <w:rFonts w:cs="Arial"/>
          <w:b/>
          <w:sz w:val="28"/>
          <w:szCs w:val="28"/>
        </w:rPr>
        <w:t>Pay</w:t>
      </w:r>
    </w:p>
    <w:p w14:paraId="7504AA85" w14:textId="77777777" w:rsidR="00175585" w:rsidRPr="00175585" w:rsidRDefault="00175585" w:rsidP="00175585">
      <w:pPr>
        <w:ind w:left="426"/>
        <w:rPr>
          <w:rFonts w:cs="Arial"/>
          <w:b/>
          <w:szCs w:val="24"/>
        </w:rPr>
      </w:pPr>
    </w:p>
    <w:p w14:paraId="4F0EAA39" w14:textId="77777777" w:rsidR="00175585" w:rsidRPr="00175585" w:rsidRDefault="00175585" w:rsidP="00175585">
      <w:pPr>
        <w:ind w:left="426"/>
        <w:rPr>
          <w:rFonts w:cs="Arial"/>
          <w:b/>
          <w:szCs w:val="24"/>
        </w:rPr>
      </w:pPr>
      <w:r w:rsidRPr="00175585">
        <w:rPr>
          <w:rFonts w:cs="Arial"/>
          <w:b/>
          <w:szCs w:val="24"/>
        </w:rPr>
        <w:t>Strategic Principles</w:t>
      </w:r>
    </w:p>
    <w:p w14:paraId="00A53AEE" w14:textId="77777777" w:rsidR="00175585" w:rsidRPr="00175585" w:rsidRDefault="00175585" w:rsidP="00D32888">
      <w:pPr>
        <w:numPr>
          <w:ilvl w:val="0"/>
          <w:numId w:val="29"/>
        </w:numPr>
        <w:spacing w:after="200" w:line="276" w:lineRule="auto"/>
        <w:rPr>
          <w:rFonts w:cs="Arial"/>
          <w:szCs w:val="24"/>
        </w:rPr>
      </w:pPr>
      <w:r w:rsidRPr="00175585">
        <w:rPr>
          <w:rFonts w:cs="Arial"/>
          <w:szCs w:val="24"/>
        </w:rPr>
        <w:t xml:space="preserve">We will pay sufficiently well to attract and retain talent in line with our ambitions, </w:t>
      </w:r>
      <w:proofErr w:type="gramStart"/>
      <w:r w:rsidRPr="00175585">
        <w:rPr>
          <w:rFonts w:cs="Arial"/>
          <w:szCs w:val="24"/>
        </w:rPr>
        <w:t>priorities</w:t>
      </w:r>
      <w:proofErr w:type="gramEnd"/>
      <w:r w:rsidRPr="00175585">
        <w:rPr>
          <w:rFonts w:cs="Arial"/>
          <w:szCs w:val="24"/>
        </w:rPr>
        <w:t xml:space="preserve"> and workforce strategy.</w:t>
      </w:r>
    </w:p>
    <w:p w14:paraId="5DD2775A" w14:textId="77777777" w:rsidR="00175585" w:rsidRPr="00175585" w:rsidRDefault="00175585" w:rsidP="00D32888">
      <w:pPr>
        <w:numPr>
          <w:ilvl w:val="0"/>
          <w:numId w:val="29"/>
        </w:numPr>
        <w:spacing w:after="200" w:line="276" w:lineRule="auto"/>
        <w:rPr>
          <w:rFonts w:cs="Arial"/>
          <w:szCs w:val="24"/>
        </w:rPr>
      </w:pPr>
      <w:r w:rsidRPr="00175585">
        <w:rPr>
          <w:rFonts w:cs="Arial"/>
          <w:szCs w:val="24"/>
        </w:rPr>
        <w:t>When setting pay we will be sensitive to, and respectful of the need to balance fair pay with public interest.</w:t>
      </w:r>
    </w:p>
    <w:p w14:paraId="6E39AF0E" w14:textId="77777777" w:rsidR="00175585" w:rsidRPr="00175585" w:rsidRDefault="00175585" w:rsidP="00D32888">
      <w:pPr>
        <w:numPr>
          <w:ilvl w:val="0"/>
          <w:numId w:val="29"/>
        </w:numPr>
        <w:spacing w:after="200" w:line="276" w:lineRule="auto"/>
        <w:rPr>
          <w:rFonts w:cs="Arial"/>
          <w:szCs w:val="24"/>
        </w:rPr>
      </w:pPr>
      <w:r w:rsidRPr="00175585">
        <w:rPr>
          <w:rFonts w:cs="Arial"/>
          <w:szCs w:val="24"/>
        </w:rPr>
        <w:t xml:space="preserve">We recognise our social responsibility to support in appropriate ways, a commitment to paying our lowest-paid employees fairly.  </w:t>
      </w:r>
    </w:p>
    <w:p w14:paraId="35FD9EF4" w14:textId="77777777" w:rsidR="00175585" w:rsidRPr="00175585" w:rsidRDefault="00175585" w:rsidP="00D32888">
      <w:pPr>
        <w:numPr>
          <w:ilvl w:val="0"/>
          <w:numId w:val="29"/>
        </w:numPr>
        <w:spacing w:after="200" w:line="276" w:lineRule="auto"/>
        <w:rPr>
          <w:rFonts w:cs="Arial"/>
          <w:szCs w:val="24"/>
        </w:rPr>
      </w:pPr>
      <w:r w:rsidRPr="00175585">
        <w:rPr>
          <w:rFonts w:cs="Arial"/>
          <w:szCs w:val="24"/>
        </w:rPr>
        <w:t xml:space="preserve">We are committed to developing employment opportunities for </w:t>
      </w:r>
      <w:proofErr w:type="gramStart"/>
      <w:r w:rsidRPr="00175585">
        <w:rPr>
          <w:rFonts w:cs="Arial"/>
          <w:szCs w:val="24"/>
        </w:rPr>
        <w:t>local residents</w:t>
      </w:r>
      <w:proofErr w:type="gramEnd"/>
      <w:r w:rsidRPr="00175585">
        <w:rPr>
          <w:rFonts w:cs="Arial"/>
          <w:szCs w:val="24"/>
        </w:rPr>
        <w:t xml:space="preserve">.  Training posts with training pay grades will be supported by the Council. </w:t>
      </w:r>
    </w:p>
    <w:p w14:paraId="5DC7BBA6" w14:textId="77777777" w:rsidR="00175585" w:rsidRPr="00175585" w:rsidRDefault="00175585" w:rsidP="00D32888">
      <w:pPr>
        <w:numPr>
          <w:ilvl w:val="0"/>
          <w:numId w:val="29"/>
        </w:numPr>
        <w:spacing w:after="200" w:line="276" w:lineRule="auto"/>
        <w:rPr>
          <w:rFonts w:cs="Arial"/>
          <w:szCs w:val="24"/>
        </w:rPr>
      </w:pPr>
      <w:r w:rsidRPr="00175585">
        <w:rPr>
          <w:rFonts w:cs="Arial"/>
          <w:szCs w:val="24"/>
        </w:rPr>
        <w:t xml:space="preserve">We will keep pay under regular review and take action to maintain the ambitions stated in our pay principles. </w:t>
      </w:r>
    </w:p>
    <w:p w14:paraId="5276B44F" w14:textId="77777777" w:rsidR="00175585" w:rsidRPr="00175585" w:rsidRDefault="00175585" w:rsidP="00175585">
      <w:pPr>
        <w:ind w:left="426"/>
        <w:rPr>
          <w:rFonts w:cs="Arial"/>
          <w:szCs w:val="24"/>
        </w:rPr>
      </w:pPr>
    </w:p>
    <w:p w14:paraId="2EF00ED8" w14:textId="77777777" w:rsidR="00175585" w:rsidRPr="00175585" w:rsidRDefault="00175585" w:rsidP="00175585">
      <w:pPr>
        <w:ind w:left="426"/>
        <w:rPr>
          <w:rFonts w:cs="Arial"/>
          <w:b/>
          <w:szCs w:val="24"/>
        </w:rPr>
      </w:pPr>
      <w:r w:rsidRPr="00175585">
        <w:rPr>
          <w:rFonts w:cs="Arial"/>
          <w:b/>
          <w:szCs w:val="24"/>
        </w:rPr>
        <w:t>Operational Practices</w:t>
      </w:r>
    </w:p>
    <w:p w14:paraId="4A764DA2"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Job grades for staff governed by conditions of the National Joint Council on Pay and Conditions of Service (NJC) are established locally but are based on national spinal column points. </w:t>
      </w:r>
    </w:p>
    <w:p w14:paraId="378D1F89"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Job grades for the Chief Executive and Chief Officers are established locally using local pay points. General terms and conditions are governed by the appropriate national bodies, the Joint Negotiating Committees (JNC). </w:t>
      </w:r>
    </w:p>
    <w:p w14:paraId="3BFFA2E3"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Pay is linked to performance for NJC employees (Document 1), </w:t>
      </w:r>
      <w:r w:rsidR="00A8035A">
        <w:rPr>
          <w:rFonts w:cs="Arial"/>
          <w:szCs w:val="24"/>
        </w:rPr>
        <w:t>Senior Leadership Team</w:t>
      </w:r>
      <w:r w:rsidRPr="00175585">
        <w:rPr>
          <w:rFonts w:cs="Arial"/>
          <w:szCs w:val="24"/>
        </w:rPr>
        <w:t xml:space="preserve"> (Document 2) and </w:t>
      </w:r>
      <w:r w:rsidR="00EA654F">
        <w:rPr>
          <w:rFonts w:cs="Arial"/>
          <w:szCs w:val="24"/>
        </w:rPr>
        <w:t>Heads of Service</w:t>
      </w:r>
      <w:r w:rsidRPr="00175585">
        <w:rPr>
          <w:rFonts w:cs="Arial"/>
          <w:szCs w:val="24"/>
        </w:rPr>
        <w:t xml:space="preserve"> (Document 3).  </w:t>
      </w:r>
    </w:p>
    <w:p w14:paraId="5918A951"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Pay awards made under national pay bargaining are applied to all employees covered by the NJC and JNC conditions of service.</w:t>
      </w:r>
    </w:p>
    <w:p w14:paraId="222473E0" w14:textId="77777777" w:rsidR="00175585" w:rsidRPr="00175585" w:rsidRDefault="00175585" w:rsidP="00D32888">
      <w:pPr>
        <w:numPr>
          <w:ilvl w:val="0"/>
          <w:numId w:val="33"/>
        </w:numPr>
        <w:spacing w:after="200" w:line="276" w:lineRule="auto"/>
        <w:contextualSpacing/>
        <w:rPr>
          <w:rFonts w:cs="Arial"/>
          <w:color w:val="000000"/>
          <w:szCs w:val="24"/>
        </w:rPr>
      </w:pPr>
      <w:r w:rsidRPr="00175585">
        <w:rPr>
          <w:rFonts w:cs="Arial"/>
          <w:color w:val="000000"/>
          <w:szCs w:val="24"/>
        </w:rPr>
        <w:t xml:space="preserve">Market supplements will be applied to basic pay </w:t>
      </w:r>
      <w:proofErr w:type="gramStart"/>
      <w:r w:rsidRPr="00175585">
        <w:rPr>
          <w:rFonts w:cs="Arial"/>
          <w:color w:val="000000"/>
          <w:szCs w:val="24"/>
        </w:rPr>
        <w:t>in order to</w:t>
      </w:r>
      <w:proofErr w:type="gramEnd"/>
      <w:r w:rsidRPr="00175585">
        <w:rPr>
          <w:rFonts w:cs="Arial"/>
          <w:color w:val="000000"/>
          <w:szCs w:val="24"/>
        </w:rPr>
        <w:t xml:space="preserve"> attract first class candidates into our workforce.  Such supplements will be applied in the exceptional circumstances described in Document 4. </w:t>
      </w:r>
    </w:p>
    <w:p w14:paraId="6B7E1DFB" w14:textId="77777777" w:rsidR="00175585" w:rsidRPr="00175585" w:rsidRDefault="00175585" w:rsidP="00D32888">
      <w:pPr>
        <w:numPr>
          <w:ilvl w:val="0"/>
          <w:numId w:val="33"/>
        </w:numPr>
        <w:spacing w:after="200" w:line="276" w:lineRule="auto"/>
        <w:contextualSpacing/>
        <w:rPr>
          <w:rFonts w:cs="Arial"/>
          <w:color w:val="000000"/>
          <w:szCs w:val="24"/>
        </w:rPr>
      </w:pPr>
      <w:r w:rsidRPr="00175585">
        <w:rPr>
          <w:rFonts w:cs="Arial"/>
          <w:color w:val="000000"/>
          <w:szCs w:val="24"/>
        </w:rPr>
        <w:t xml:space="preserve">Honoraria payments will be used for short periods of time, normally up to one year, to appropriately recognise and reward employees who are required by the Council to perform duties and responsibilities beyond those normally expected in their substantive post for a period exceeding four weeks. The level of payment will be determined by the relevant </w:t>
      </w:r>
      <w:r w:rsidR="00EA654F">
        <w:rPr>
          <w:rFonts w:cs="Arial"/>
          <w:color w:val="000000"/>
          <w:szCs w:val="24"/>
        </w:rPr>
        <w:t>Head of Service</w:t>
      </w:r>
      <w:r w:rsidRPr="00175585">
        <w:rPr>
          <w:rFonts w:cs="Arial"/>
          <w:color w:val="000000"/>
          <w:szCs w:val="24"/>
        </w:rPr>
        <w:t xml:space="preserve"> and the </w:t>
      </w:r>
      <w:r w:rsidR="00EA654F">
        <w:rPr>
          <w:rFonts w:cs="Arial"/>
          <w:color w:val="000000"/>
          <w:szCs w:val="24"/>
        </w:rPr>
        <w:t>Head of Service</w:t>
      </w:r>
      <w:r w:rsidRPr="00175585">
        <w:rPr>
          <w:rFonts w:cs="Arial"/>
          <w:color w:val="000000"/>
          <w:szCs w:val="24"/>
        </w:rPr>
        <w:t xml:space="preserve"> responsible for the human resources function.  </w:t>
      </w:r>
    </w:p>
    <w:p w14:paraId="60511C92" w14:textId="77777777" w:rsidR="00175585" w:rsidRPr="00175585" w:rsidRDefault="00175585" w:rsidP="00175585">
      <w:pPr>
        <w:ind w:left="426"/>
        <w:rPr>
          <w:rFonts w:cs="Arial"/>
          <w:szCs w:val="24"/>
        </w:rPr>
      </w:pPr>
    </w:p>
    <w:p w14:paraId="22C1E695" w14:textId="77777777" w:rsidR="00175585" w:rsidRPr="00175585" w:rsidRDefault="00175585" w:rsidP="00175585">
      <w:pPr>
        <w:ind w:left="426"/>
        <w:rPr>
          <w:rFonts w:cs="Arial"/>
          <w:b/>
          <w:sz w:val="28"/>
          <w:szCs w:val="28"/>
        </w:rPr>
      </w:pPr>
      <w:r w:rsidRPr="00175585">
        <w:rPr>
          <w:rFonts w:cs="Arial"/>
          <w:b/>
          <w:sz w:val="28"/>
          <w:szCs w:val="28"/>
        </w:rPr>
        <w:t>Equality</w:t>
      </w:r>
    </w:p>
    <w:p w14:paraId="03B797EE" w14:textId="77777777" w:rsidR="00175585" w:rsidRPr="00175585" w:rsidRDefault="00175585" w:rsidP="00175585">
      <w:pPr>
        <w:ind w:left="426"/>
        <w:rPr>
          <w:rFonts w:cs="Arial"/>
          <w:b/>
          <w:szCs w:val="24"/>
        </w:rPr>
      </w:pPr>
    </w:p>
    <w:p w14:paraId="354C48F9" w14:textId="77777777" w:rsidR="00175585" w:rsidRPr="00175585" w:rsidRDefault="00175585" w:rsidP="00175585">
      <w:pPr>
        <w:ind w:left="426"/>
        <w:rPr>
          <w:rFonts w:cs="Arial"/>
          <w:b/>
          <w:szCs w:val="24"/>
        </w:rPr>
      </w:pPr>
      <w:r w:rsidRPr="00175585">
        <w:rPr>
          <w:rFonts w:cs="Arial"/>
          <w:b/>
          <w:szCs w:val="24"/>
        </w:rPr>
        <w:t>Strategic Principles</w:t>
      </w:r>
    </w:p>
    <w:p w14:paraId="4A98452F" w14:textId="77777777" w:rsidR="00175585" w:rsidRPr="00175585" w:rsidRDefault="00175585" w:rsidP="00D32888">
      <w:pPr>
        <w:numPr>
          <w:ilvl w:val="0"/>
          <w:numId w:val="30"/>
        </w:numPr>
        <w:spacing w:after="200" w:line="276" w:lineRule="auto"/>
        <w:ind w:left="709" w:hanging="283"/>
        <w:rPr>
          <w:rFonts w:cs="Arial"/>
          <w:szCs w:val="24"/>
        </w:rPr>
      </w:pPr>
      <w:r w:rsidRPr="00175585">
        <w:rPr>
          <w:rFonts w:cs="Arial"/>
          <w:szCs w:val="24"/>
        </w:rPr>
        <w:t xml:space="preserve">Pay equality within the workforce will be maintained by ensuring that jobs are objectively graded through a job evaluation mechanism appropriate to NJC employees and to </w:t>
      </w:r>
      <w:r w:rsidR="00EA654F">
        <w:rPr>
          <w:rFonts w:cs="Arial"/>
          <w:szCs w:val="24"/>
        </w:rPr>
        <w:t>Heads of Service</w:t>
      </w:r>
      <w:r w:rsidRPr="00175585">
        <w:rPr>
          <w:rFonts w:cs="Arial"/>
          <w:szCs w:val="24"/>
        </w:rPr>
        <w:t>.</w:t>
      </w:r>
    </w:p>
    <w:p w14:paraId="4EA2F5EA" w14:textId="77777777" w:rsidR="00175585" w:rsidRPr="00175585" w:rsidRDefault="00175585" w:rsidP="00D32888">
      <w:pPr>
        <w:numPr>
          <w:ilvl w:val="0"/>
          <w:numId w:val="30"/>
        </w:numPr>
        <w:spacing w:after="200" w:line="276" w:lineRule="auto"/>
        <w:ind w:left="709" w:hanging="283"/>
        <w:rPr>
          <w:rFonts w:cs="Arial"/>
          <w:szCs w:val="24"/>
        </w:rPr>
      </w:pPr>
      <w:r w:rsidRPr="00175585">
        <w:rPr>
          <w:rFonts w:cs="Arial"/>
          <w:szCs w:val="24"/>
        </w:rPr>
        <w:t xml:space="preserve">Pay grades will be designed in line with best practice to ensure that pay is non-discriminatory particularly in respect to gender. </w:t>
      </w:r>
    </w:p>
    <w:p w14:paraId="5CC0E3AE" w14:textId="77777777" w:rsidR="00175585" w:rsidRPr="00175585" w:rsidRDefault="00175585" w:rsidP="00D32888">
      <w:pPr>
        <w:numPr>
          <w:ilvl w:val="0"/>
          <w:numId w:val="30"/>
        </w:numPr>
        <w:spacing w:after="200" w:line="276" w:lineRule="auto"/>
        <w:ind w:left="709" w:hanging="283"/>
        <w:rPr>
          <w:rFonts w:cs="Arial"/>
          <w:szCs w:val="24"/>
        </w:rPr>
      </w:pPr>
      <w:r w:rsidRPr="00175585">
        <w:rPr>
          <w:rFonts w:cs="Arial"/>
          <w:szCs w:val="24"/>
        </w:rPr>
        <w:t xml:space="preserve">The Equal Pay Policy Statement sets out the general principles of pay and </w:t>
      </w:r>
      <w:proofErr w:type="gramStart"/>
      <w:r w:rsidRPr="00175585">
        <w:rPr>
          <w:rFonts w:cs="Arial"/>
          <w:szCs w:val="24"/>
        </w:rPr>
        <w:t>equality</w:t>
      </w:r>
      <w:proofErr w:type="gramEnd"/>
    </w:p>
    <w:p w14:paraId="6EEB6399" w14:textId="77777777" w:rsidR="00175585" w:rsidRPr="00175585" w:rsidRDefault="00175585" w:rsidP="00175585">
      <w:pPr>
        <w:spacing w:line="276" w:lineRule="auto"/>
        <w:ind w:left="426"/>
        <w:rPr>
          <w:rFonts w:cs="Arial"/>
          <w:b/>
          <w:szCs w:val="24"/>
        </w:rPr>
      </w:pPr>
    </w:p>
    <w:p w14:paraId="5758D92B" w14:textId="77777777" w:rsidR="00175585" w:rsidRPr="00175585" w:rsidRDefault="00175585" w:rsidP="00175585">
      <w:pPr>
        <w:spacing w:line="276" w:lineRule="auto"/>
        <w:ind w:left="426"/>
        <w:rPr>
          <w:rFonts w:cs="Arial"/>
          <w:b/>
          <w:szCs w:val="24"/>
        </w:rPr>
      </w:pPr>
      <w:r w:rsidRPr="00175585">
        <w:rPr>
          <w:rFonts w:cs="Arial"/>
          <w:b/>
          <w:szCs w:val="24"/>
        </w:rPr>
        <w:t>Operational Practices</w:t>
      </w:r>
    </w:p>
    <w:p w14:paraId="069038BE" w14:textId="77777777" w:rsidR="00175585" w:rsidRPr="00175585" w:rsidRDefault="00175585" w:rsidP="00D32888">
      <w:pPr>
        <w:numPr>
          <w:ilvl w:val="0"/>
          <w:numId w:val="30"/>
        </w:numPr>
        <w:spacing w:after="200" w:line="276" w:lineRule="auto"/>
        <w:ind w:left="709" w:hanging="283"/>
        <w:rPr>
          <w:rFonts w:cs="Arial"/>
          <w:szCs w:val="24"/>
        </w:rPr>
      </w:pPr>
      <w:r w:rsidRPr="00175585">
        <w:rPr>
          <w:rFonts w:cs="Arial"/>
          <w:szCs w:val="24"/>
        </w:rPr>
        <w:t>A “Gender Pay Gap” review of pay will be undertaken annually within Government guidelines.  Findings of this review, including any recommendations for action will be reported to Senior Leadership Team and to the Joint Consultative and Safety Committee.</w:t>
      </w:r>
    </w:p>
    <w:p w14:paraId="65DD76A3" w14:textId="77777777" w:rsidR="00175585" w:rsidRPr="00175585" w:rsidRDefault="00175585" w:rsidP="00D32888">
      <w:pPr>
        <w:numPr>
          <w:ilvl w:val="0"/>
          <w:numId w:val="30"/>
        </w:numPr>
        <w:spacing w:after="200" w:line="276" w:lineRule="auto"/>
        <w:ind w:left="709" w:hanging="283"/>
        <w:rPr>
          <w:rFonts w:cs="Arial"/>
          <w:szCs w:val="24"/>
        </w:rPr>
      </w:pPr>
      <w:r w:rsidRPr="00175585">
        <w:rPr>
          <w:rFonts w:cs="Arial"/>
          <w:szCs w:val="24"/>
        </w:rPr>
        <w:t>The NJC job evaluation scheme is used as a framework to determine job scores used as a basis for local pay.</w:t>
      </w:r>
    </w:p>
    <w:p w14:paraId="7C1D2C18" w14:textId="77777777" w:rsidR="00175585" w:rsidRPr="00175585" w:rsidRDefault="00175585" w:rsidP="00D32888">
      <w:pPr>
        <w:numPr>
          <w:ilvl w:val="0"/>
          <w:numId w:val="30"/>
        </w:numPr>
        <w:spacing w:after="200" w:line="276" w:lineRule="auto"/>
        <w:ind w:left="709" w:hanging="283"/>
        <w:rPr>
          <w:rFonts w:cs="Arial"/>
          <w:szCs w:val="24"/>
        </w:rPr>
      </w:pPr>
      <w:r w:rsidRPr="00175585">
        <w:rPr>
          <w:rFonts w:cs="Arial"/>
          <w:szCs w:val="24"/>
        </w:rPr>
        <w:t xml:space="preserve">A </w:t>
      </w:r>
      <w:proofErr w:type="gramStart"/>
      <w:r w:rsidRPr="00175585">
        <w:rPr>
          <w:rFonts w:cs="Arial"/>
          <w:szCs w:val="24"/>
        </w:rPr>
        <w:t>locally-determined</w:t>
      </w:r>
      <w:proofErr w:type="gramEnd"/>
      <w:r w:rsidRPr="00175585">
        <w:rPr>
          <w:rFonts w:cs="Arial"/>
          <w:szCs w:val="24"/>
        </w:rPr>
        <w:t xml:space="preserve"> job evaluation scheme will be applied to </w:t>
      </w:r>
      <w:r w:rsidR="00EA654F">
        <w:rPr>
          <w:rFonts w:cs="Arial"/>
          <w:szCs w:val="24"/>
        </w:rPr>
        <w:t>Head of Service</w:t>
      </w:r>
      <w:r w:rsidRPr="00175585">
        <w:rPr>
          <w:rFonts w:cs="Arial"/>
          <w:szCs w:val="24"/>
        </w:rPr>
        <w:t xml:space="preserve"> posts covered by JNC terms for Chief Offices.</w:t>
      </w:r>
    </w:p>
    <w:p w14:paraId="06318F9B" w14:textId="77777777" w:rsidR="00175585" w:rsidRPr="00175585" w:rsidRDefault="00175585" w:rsidP="00D32888">
      <w:pPr>
        <w:numPr>
          <w:ilvl w:val="0"/>
          <w:numId w:val="30"/>
        </w:numPr>
        <w:spacing w:after="200" w:line="276" w:lineRule="auto"/>
        <w:ind w:left="709" w:hanging="283"/>
        <w:rPr>
          <w:rFonts w:cs="Arial"/>
          <w:szCs w:val="24"/>
        </w:rPr>
      </w:pPr>
      <w:r w:rsidRPr="00175585">
        <w:rPr>
          <w:rFonts w:cs="Arial"/>
          <w:szCs w:val="24"/>
        </w:rPr>
        <w:t>Job evaluation of new and changed NJC posts will be undertaken by management and union representatives.</w:t>
      </w:r>
    </w:p>
    <w:p w14:paraId="365EDC97" w14:textId="77777777" w:rsidR="00175585" w:rsidRPr="00175585" w:rsidRDefault="00175585" w:rsidP="00D32888">
      <w:pPr>
        <w:numPr>
          <w:ilvl w:val="0"/>
          <w:numId w:val="30"/>
        </w:numPr>
        <w:spacing w:after="200" w:line="276" w:lineRule="auto"/>
        <w:ind w:left="709" w:hanging="283"/>
        <w:rPr>
          <w:rFonts w:cs="Arial"/>
          <w:szCs w:val="24"/>
        </w:rPr>
      </w:pPr>
      <w:r w:rsidRPr="00175585">
        <w:rPr>
          <w:rFonts w:cs="Arial"/>
          <w:szCs w:val="24"/>
        </w:rPr>
        <w:t xml:space="preserve">Job evaluation of new and changed JNC </w:t>
      </w:r>
      <w:r w:rsidR="00EA654F">
        <w:rPr>
          <w:rFonts w:cs="Arial"/>
          <w:szCs w:val="24"/>
        </w:rPr>
        <w:t>Head of Service</w:t>
      </w:r>
      <w:r w:rsidRPr="00175585">
        <w:rPr>
          <w:rFonts w:cs="Arial"/>
          <w:szCs w:val="24"/>
        </w:rPr>
        <w:t xml:space="preserve"> posts will be undertaken by Senior Leadership Team.</w:t>
      </w:r>
    </w:p>
    <w:p w14:paraId="704157EE" w14:textId="77777777" w:rsidR="00175585" w:rsidRPr="00175585" w:rsidRDefault="00175585" w:rsidP="00175585">
      <w:pPr>
        <w:ind w:left="709"/>
        <w:rPr>
          <w:rFonts w:cs="Arial"/>
          <w:sz w:val="28"/>
          <w:szCs w:val="28"/>
        </w:rPr>
      </w:pPr>
    </w:p>
    <w:p w14:paraId="15D745D1" w14:textId="77777777" w:rsidR="00175585" w:rsidRPr="00175585" w:rsidRDefault="00175585" w:rsidP="00175585">
      <w:pPr>
        <w:ind w:left="426"/>
        <w:rPr>
          <w:rFonts w:cs="Arial"/>
          <w:b/>
          <w:color w:val="000000"/>
          <w:sz w:val="28"/>
          <w:szCs w:val="28"/>
        </w:rPr>
      </w:pPr>
      <w:r w:rsidRPr="00175585">
        <w:rPr>
          <w:rFonts w:cs="Arial"/>
          <w:b/>
          <w:color w:val="000000"/>
          <w:sz w:val="28"/>
          <w:szCs w:val="28"/>
        </w:rPr>
        <w:t>Benefits and reward</w:t>
      </w:r>
    </w:p>
    <w:p w14:paraId="7E9E1C3E" w14:textId="77777777" w:rsidR="00175585" w:rsidRPr="00175585" w:rsidRDefault="00175585" w:rsidP="00175585">
      <w:pPr>
        <w:ind w:left="426"/>
        <w:rPr>
          <w:rFonts w:cs="Arial"/>
          <w:b/>
          <w:color w:val="000000"/>
          <w:szCs w:val="24"/>
        </w:rPr>
      </w:pPr>
    </w:p>
    <w:p w14:paraId="12AE7501" w14:textId="77777777" w:rsidR="00175585" w:rsidRPr="00175585" w:rsidRDefault="00175585" w:rsidP="00175585">
      <w:pPr>
        <w:ind w:left="426"/>
        <w:rPr>
          <w:rFonts w:cs="Arial"/>
          <w:b/>
          <w:color w:val="000000"/>
          <w:szCs w:val="24"/>
        </w:rPr>
      </w:pPr>
      <w:r w:rsidRPr="00175585">
        <w:rPr>
          <w:rFonts w:cs="Arial"/>
          <w:b/>
          <w:color w:val="000000"/>
          <w:szCs w:val="24"/>
        </w:rPr>
        <w:t>Strategic principles</w:t>
      </w:r>
    </w:p>
    <w:p w14:paraId="49CB7237"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 xml:space="preserve">We recognise that pay is only one element of reward. Recruitment, retention, </w:t>
      </w:r>
      <w:proofErr w:type="gramStart"/>
      <w:r w:rsidRPr="00175585">
        <w:rPr>
          <w:rFonts w:cs="Arial"/>
          <w:szCs w:val="24"/>
        </w:rPr>
        <w:t>engagement</w:t>
      </w:r>
      <w:proofErr w:type="gramEnd"/>
      <w:r w:rsidRPr="00175585">
        <w:rPr>
          <w:rFonts w:cs="Arial"/>
          <w:szCs w:val="24"/>
        </w:rPr>
        <w:t xml:space="preserve"> and happiness of employees are influenced by a wider package of measures.  We will continually review terms, conditions, </w:t>
      </w:r>
      <w:proofErr w:type="gramStart"/>
      <w:r w:rsidRPr="00175585">
        <w:rPr>
          <w:rFonts w:cs="Arial"/>
          <w:szCs w:val="24"/>
        </w:rPr>
        <w:t>benefits</w:t>
      </w:r>
      <w:proofErr w:type="gramEnd"/>
      <w:r w:rsidRPr="00175585">
        <w:rPr>
          <w:rFonts w:cs="Arial"/>
          <w:szCs w:val="24"/>
        </w:rPr>
        <w:t xml:space="preserve"> and ways of working that will make Gedling Borough Council an employer of choice. </w:t>
      </w:r>
    </w:p>
    <w:p w14:paraId="1CE9936E" w14:textId="77777777" w:rsidR="00175585" w:rsidRPr="00175585" w:rsidRDefault="00175585" w:rsidP="00D32888">
      <w:pPr>
        <w:numPr>
          <w:ilvl w:val="0"/>
          <w:numId w:val="31"/>
        </w:numPr>
        <w:spacing w:after="200" w:line="276" w:lineRule="auto"/>
        <w:ind w:left="709" w:hanging="283"/>
        <w:rPr>
          <w:rFonts w:cs="Arial"/>
          <w:b/>
          <w:szCs w:val="24"/>
        </w:rPr>
      </w:pPr>
      <w:r w:rsidRPr="00175585">
        <w:rPr>
          <w:rFonts w:cs="Arial"/>
          <w:szCs w:val="24"/>
        </w:rPr>
        <w:t xml:space="preserve">We recognise that good physical and mental health of our employees is essential if employees are to attend work regularly and to give of their best.  </w:t>
      </w:r>
    </w:p>
    <w:p w14:paraId="47C9A892" w14:textId="77777777" w:rsidR="00175585" w:rsidRPr="00175585" w:rsidRDefault="00175585" w:rsidP="00175585">
      <w:pPr>
        <w:ind w:left="709"/>
        <w:rPr>
          <w:rFonts w:cs="Arial"/>
          <w:b/>
          <w:szCs w:val="24"/>
        </w:rPr>
      </w:pPr>
    </w:p>
    <w:p w14:paraId="1E54B911" w14:textId="77777777" w:rsidR="00175585" w:rsidRPr="00175585" w:rsidRDefault="00175585" w:rsidP="00175585">
      <w:pPr>
        <w:ind w:firstLine="426"/>
        <w:rPr>
          <w:rFonts w:cs="Arial"/>
          <w:b/>
          <w:szCs w:val="24"/>
        </w:rPr>
      </w:pPr>
      <w:r w:rsidRPr="00175585">
        <w:rPr>
          <w:rFonts w:cs="Arial"/>
          <w:b/>
          <w:szCs w:val="24"/>
        </w:rPr>
        <w:t xml:space="preserve">Operational practices </w:t>
      </w:r>
    </w:p>
    <w:p w14:paraId="334C745A"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 xml:space="preserve">We provide practical support to improve the wellbeing of employees. This is achieved through practical measures such as the “Employee Assistance Programme” available to all employees and designed to support employees through problems relating to mental health and financial and relationship difficulties.    </w:t>
      </w:r>
    </w:p>
    <w:p w14:paraId="17187CDC"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Adoption of flexible and agile working practices whenever practical to enable employees to deliver first rate service in ways that help them to balance personal and work commitments.</w:t>
      </w:r>
    </w:p>
    <w:p w14:paraId="217AC76F"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Access to an employee benefits package, “Gedling Lifestyle” that helps to maximise employees’ earnings.</w:t>
      </w:r>
    </w:p>
    <w:p w14:paraId="7E41BA0C"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 xml:space="preserve">Membership of “Our Gedling”, providing access for all employees to a range of events and activities designed to enhance personal wellbeing and health and to support a sense of community and engagement with work colleagues.   </w:t>
      </w:r>
    </w:p>
    <w:p w14:paraId="3A8B5E90"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 xml:space="preserve">Through active engagement with the workforce, employees’ perception of happiness in the workplace is measured and reported.  Issues of common concern are </w:t>
      </w:r>
      <w:proofErr w:type="gramStart"/>
      <w:r w:rsidRPr="00175585">
        <w:rPr>
          <w:rFonts w:cs="Arial"/>
          <w:szCs w:val="24"/>
        </w:rPr>
        <w:t>identified</w:t>
      </w:r>
      <w:proofErr w:type="gramEnd"/>
      <w:r w:rsidRPr="00175585">
        <w:rPr>
          <w:rFonts w:cs="Arial"/>
          <w:szCs w:val="24"/>
        </w:rPr>
        <w:t xml:space="preserve"> and actions developed to improve both employee wellbeing and workplace efficiency. </w:t>
      </w:r>
    </w:p>
    <w:p w14:paraId="0FB78C10" w14:textId="77777777" w:rsidR="00175585" w:rsidRPr="00175585" w:rsidRDefault="00175585" w:rsidP="00175585">
      <w:pPr>
        <w:ind w:left="426"/>
        <w:rPr>
          <w:rFonts w:cs="Arial"/>
          <w:b/>
          <w:sz w:val="28"/>
          <w:szCs w:val="28"/>
        </w:rPr>
      </w:pPr>
    </w:p>
    <w:p w14:paraId="0F84FBCF" w14:textId="77777777" w:rsidR="00175585" w:rsidRPr="00175585" w:rsidRDefault="00175585" w:rsidP="00175585">
      <w:pPr>
        <w:ind w:left="426"/>
        <w:rPr>
          <w:rFonts w:cs="Arial"/>
          <w:b/>
          <w:sz w:val="28"/>
          <w:szCs w:val="28"/>
        </w:rPr>
      </w:pPr>
      <w:r w:rsidRPr="00175585">
        <w:rPr>
          <w:rFonts w:cs="Arial"/>
          <w:b/>
          <w:sz w:val="28"/>
          <w:szCs w:val="28"/>
        </w:rPr>
        <w:t xml:space="preserve">Pay </w:t>
      </w:r>
      <w:proofErr w:type="gramStart"/>
      <w:r w:rsidRPr="00175585">
        <w:rPr>
          <w:rFonts w:cs="Arial"/>
          <w:b/>
          <w:sz w:val="28"/>
          <w:szCs w:val="28"/>
        </w:rPr>
        <w:t>protection</w:t>
      </w:r>
      <w:proofErr w:type="gramEnd"/>
      <w:r w:rsidRPr="00175585">
        <w:rPr>
          <w:rFonts w:cs="Arial"/>
          <w:b/>
          <w:sz w:val="28"/>
          <w:szCs w:val="28"/>
        </w:rPr>
        <w:t xml:space="preserve"> </w:t>
      </w:r>
    </w:p>
    <w:p w14:paraId="7BBCFE4D" w14:textId="77777777" w:rsidR="00175585" w:rsidRPr="00175585" w:rsidRDefault="00175585" w:rsidP="00175585">
      <w:pPr>
        <w:ind w:left="426"/>
        <w:rPr>
          <w:rFonts w:cs="Arial"/>
          <w:b/>
          <w:color w:val="000000"/>
          <w:szCs w:val="24"/>
        </w:rPr>
      </w:pPr>
    </w:p>
    <w:p w14:paraId="1C74C277" w14:textId="77777777" w:rsidR="00175585" w:rsidRPr="00175585" w:rsidRDefault="00175585" w:rsidP="00175585">
      <w:pPr>
        <w:ind w:left="426"/>
        <w:rPr>
          <w:rFonts w:cs="Arial"/>
          <w:b/>
          <w:color w:val="000000"/>
          <w:szCs w:val="24"/>
        </w:rPr>
      </w:pPr>
      <w:r w:rsidRPr="00175585">
        <w:rPr>
          <w:rFonts w:cs="Arial"/>
          <w:b/>
          <w:color w:val="000000"/>
          <w:szCs w:val="24"/>
        </w:rPr>
        <w:t>Strategic principles</w:t>
      </w:r>
    </w:p>
    <w:p w14:paraId="465517B0"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When possible and appropriate, employees will be redeployed within the organisation if they cannot continue to work in their current job.</w:t>
      </w:r>
    </w:p>
    <w:p w14:paraId="497A8737" w14:textId="77777777" w:rsidR="00175585" w:rsidRPr="00175585" w:rsidRDefault="00175585" w:rsidP="00175585">
      <w:pPr>
        <w:ind w:left="709"/>
        <w:rPr>
          <w:rFonts w:cs="Arial"/>
          <w:b/>
          <w:szCs w:val="24"/>
        </w:rPr>
      </w:pPr>
    </w:p>
    <w:p w14:paraId="7CA21F5F" w14:textId="77777777" w:rsidR="00175585" w:rsidRPr="00175585" w:rsidRDefault="00175585" w:rsidP="00175585">
      <w:pPr>
        <w:ind w:firstLine="426"/>
        <w:rPr>
          <w:rFonts w:cs="Arial"/>
          <w:szCs w:val="24"/>
        </w:rPr>
      </w:pPr>
      <w:r w:rsidRPr="00175585">
        <w:rPr>
          <w:rFonts w:cs="Arial"/>
          <w:b/>
          <w:szCs w:val="24"/>
        </w:rPr>
        <w:t>Operational practices</w:t>
      </w:r>
    </w:p>
    <w:p w14:paraId="729A69E8" w14:textId="77777777" w:rsidR="00175585" w:rsidRPr="00175585" w:rsidRDefault="00175585" w:rsidP="00D32888">
      <w:pPr>
        <w:numPr>
          <w:ilvl w:val="0"/>
          <w:numId w:val="32"/>
        </w:numPr>
        <w:spacing w:after="200" w:line="276" w:lineRule="auto"/>
        <w:ind w:left="709" w:hanging="283"/>
        <w:rPr>
          <w:rFonts w:cs="Arial"/>
          <w:szCs w:val="24"/>
        </w:rPr>
      </w:pPr>
      <w:r w:rsidRPr="00175585">
        <w:rPr>
          <w:rFonts w:cs="Arial"/>
          <w:szCs w:val="24"/>
        </w:rPr>
        <w:t>Employees redeployed to a lower paid job following service reorganisation will receive pay protection. The nature of this protection will be defined through local policy.</w:t>
      </w:r>
    </w:p>
    <w:p w14:paraId="28DDE6CA" w14:textId="77777777" w:rsidR="00175585" w:rsidRPr="00175585" w:rsidRDefault="00175585" w:rsidP="00175585">
      <w:pPr>
        <w:rPr>
          <w:rFonts w:cs="Arial"/>
          <w:sz w:val="28"/>
          <w:szCs w:val="28"/>
        </w:rPr>
      </w:pPr>
    </w:p>
    <w:p w14:paraId="63EB9073" w14:textId="77777777" w:rsidR="00175585" w:rsidRPr="00175585" w:rsidRDefault="00175585" w:rsidP="00175585">
      <w:pPr>
        <w:spacing w:line="276" w:lineRule="auto"/>
        <w:ind w:left="426"/>
        <w:rPr>
          <w:rFonts w:cs="Arial"/>
          <w:b/>
          <w:sz w:val="28"/>
          <w:szCs w:val="28"/>
        </w:rPr>
      </w:pPr>
      <w:r w:rsidRPr="00175585">
        <w:rPr>
          <w:rFonts w:cs="Arial"/>
          <w:b/>
          <w:sz w:val="28"/>
          <w:szCs w:val="28"/>
        </w:rPr>
        <w:t>Redundancy</w:t>
      </w:r>
    </w:p>
    <w:p w14:paraId="5F11670A" w14:textId="77777777" w:rsidR="00175585" w:rsidRPr="00175585" w:rsidRDefault="00175585" w:rsidP="00175585">
      <w:pPr>
        <w:ind w:left="426"/>
        <w:rPr>
          <w:rFonts w:cs="Arial"/>
          <w:b/>
          <w:color w:val="000000"/>
          <w:szCs w:val="24"/>
        </w:rPr>
      </w:pPr>
    </w:p>
    <w:p w14:paraId="39AACD9D" w14:textId="77777777" w:rsidR="00175585" w:rsidRPr="00175585" w:rsidRDefault="00175585" w:rsidP="00175585">
      <w:pPr>
        <w:ind w:left="426"/>
        <w:rPr>
          <w:rFonts w:cs="Arial"/>
          <w:b/>
          <w:color w:val="000000"/>
          <w:szCs w:val="24"/>
        </w:rPr>
      </w:pPr>
      <w:r w:rsidRPr="00175585">
        <w:rPr>
          <w:rFonts w:cs="Arial"/>
          <w:b/>
          <w:color w:val="000000"/>
          <w:szCs w:val="24"/>
        </w:rPr>
        <w:t>Strategic principles</w:t>
      </w:r>
    </w:p>
    <w:p w14:paraId="689ED7D9"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Where possible the Council aims to redeploy employees rather than to declare redundancy.</w:t>
      </w:r>
    </w:p>
    <w:p w14:paraId="30CB9B8A"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 xml:space="preserve">When this is not possible the Council will apply redundancy payments that recognise the need to balance support for the employee against the need to exercise appropriate restraint in the use of public money. </w:t>
      </w:r>
    </w:p>
    <w:p w14:paraId="0E1AD2B4" w14:textId="77777777" w:rsidR="00175585" w:rsidRPr="00175585" w:rsidRDefault="00175585" w:rsidP="00175585">
      <w:pPr>
        <w:ind w:left="709"/>
        <w:rPr>
          <w:rFonts w:cs="Arial"/>
          <w:b/>
          <w:szCs w:val="24"/>
        </w:rPr>
      </w:pPr>
    </w:p>
    <w:p w14:paraId="36120780" w14:textId="77777777" w:rsidR="00175585" w:rsidRPr="00175585" w:rsidRDefault="00175585" w:rsidP="00175585">
      <w:pPr>
        <w:ind w:firstLine="426"/>
        <w:rPr>
          <w:rFonts w:cs="Arial"/>
          <w:szCs w:val="24"/>
        </w:rPr>
      </w:pPr>
      <w:r w:rsidRPr="00175585">
        <w:rPr>
          <w:rFonts w:cs="Arial"/>
          <w:b/>
          <w:szCs w:val="24"/>
        </w:rPr>
        <w:t>Operational practices</w:t>
      </w:r>
    </w:p>
    <w:p w14:paraId="6CB6979C" w14:textId="77777777" w:rsidR="00175585" w:rsidRPr="00175585" w:rsidRDefault="00175585" w:rsidP="00D32888">
      <w:pPr>
        <w:numPr>
          <w:ilvl w:val="0"/>
          <w:numId w:val="32"/>
        </w:numPr>
        <w:spacing w:after="200" w:line="276" w:lineRule="auto"/>
        <w:ind w:left="709" w:hanging="283"/>
        <w:rPr>
          <w:rFonts w:cs="Arial"/>
          <w:szCs w:val="24"/>
        </w:rPr>
      </w:pPr>
      <w:r w:rsidRPr="00175585">
        <w:rPr>
          <w:rFonts w:cs="Arial"/>
          <w:szCs w:val="24"/>
        </w:rPr>
        <w:t xml:space="preserve">The Early Retirement and Redundancy Policy, and the Protocol for Enabling Employee Security documents are used to assist the transition of employees between posts in appropriate circumstances. </w:t>
      </w:r>
    </w:p>
    <w:p w14:paraId="33E31AE8" w14:textId="77777777" w:rsidR="00175585" w:rsidRPr="00175585" w:rsidRDefault="00175585" w:rsidP="00D32888">
      <w:pPr>
        <w:numPr>
          <w:ilvl w:val="0"/>
          <w:numId w:val="32"/>
        </w:numPr>
        <w:spacing w:after="200" w:line="276" w:lineRule="auto"/>
        <w:ind w:left="709" w:hanging="283"/>
        <w:rPr>
          <w:rFonts w:cs="Arial"/>
          <w:szCs w:val="24"/>
        </w:rPr>
      </w:pPr>
      <w:r w:rsidRPr="00175585">
        <w:rPr>
          <w:rFonts w:cs="Arial"/>
          <w:szCs w:val="24"/>
        </w:rPr>
        <w:t>Employees returning to work with the Council following redundancy from either our own organisation or a similar public sector organisation will have applied to them any financial penalty required either by legislation or through national terms and conditions.</w:t>
      </w:r>
    </w:p>
    <w:p w14:paraId="2A8C0B07" w14:textId="77777777" w:rsidR="00175585" w:rsidRPr="00175585" w:rsidRDefault="00175585" w:rsidP="00175585">
      <w:pPr>
        <w:ind w:left="426"/>
        <w:rPr>
          <w:rFonts w:cs="Arial"/>
          <w:b/>
          <w:sz w:val="28"/>
          <w:szCs w:val="28"/>
        </w:rPr>
      </w:pPr>
    </w:p>
    <w:p w14:paraId="598FCFBA" w14:textId="77777777" w:rsidR="00175585" w:rsidRPr="00175585" w:rsidRDefault="00175585" w:rsidP="00175585">
      <w:pPr>
        <w:ind w:left="426"/>
        <w:rPr>
          <w:rFonts w:cs="Arial"/>
          <w:b/>
          <w:sz w:val="28"/>
          <w:szCs w:val="28"/>
        </w:rPr>
      </w:pPr>
    </w:p>
    <w:p w14:paraId="7D20F7A5" w14:textId="77777777" w:rsidR="00175585" w:rsidRPr="00175585" w:rsidRDefault="00175585" w:rsidP="00570C15">
      <w:pPr>
        <w:spacing w:after="200" w:line="276" w:lineRule="auto"/>
        <w:rPr>
          <w:rFonts w:cs="Arial"/>
          <w:b/>
          <w:sz w:val="28"/>
          <w:szCs w:val="28"/>
        </w:rPr>
      </w:pPr>
      <w:r w:rsidRPr="00175585">
        <w:rPr>
          <w:rFonts w:cs="Arial"/>
          <w:b/>
          <w:sz w:val="28"/>
          <w:szCs w:val="28"/>
        </w:rPr>
        <w:br w:type="page"/>
        <w:t>Pensions</w:t>
      </w:r>
    </w:p>
    <w:p w14:paraId="74C9766A" w14:textId="77777777" w:rsidR="00175585" w:rsidRPr="00175585" w:rsidRDefault="00175585" w:rsidP="00175585">
      <w:pPr>
        <w:ind w:left="426"/>
        <w:rPr>
          <w:rFonts w:cs="Arial"/>
          <w:b/>
          <w:color w:val="000000"/>
          <w:szCs w:val="24"/>
        </w:rPr>
      </w:pPr>
    </w:p>
    <w:p w14:paraId="6FD0BBEA" w14:textId="77777777" w:rsidR="00175585" w:rsidRPr="00175585" w:rsidRDefault="00175585" w:rsidP="00175585">
      <w:pPr>
        <w:ind w:left="426"/>
        <w:rPr>
          <w:rFonts w:cs="Arial"/>
          <w:b/>
          <w:color w:val="000000"/>
          <w:szCs w:val="24"/>
        </w:rPr>
      </w:pPr>
      <w:r w:rsidRPr="00175585">
        <w:rPr>
          <w:rFonts w:cs="Arial"/>
          <w:b/>
          <w:color w:val="000000"/>
          <w:szCs w:val="24"/>
        </w:rPr>
        <w:t>Strategic principles</w:t>
      </w:r>
    </w:p>
    <w:p w14:paraId="35C5E024"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 xml:space="preserve">Employees of the Council are eligible to participate in the local government pension scheme (LGPS).  </w:t>
      </w:r>
    </w:p>
    <w:p w14:paraId="0334A0B8"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As required by LGPS Regulations, the Council will maintain a set of local policy decisions relating to discretions available to employers under the scheme.</w:t>
      </w:r>
    </w:p>
    <w:p w14:paraId="15066BF1" w14:textId="77777777" w:rsidR="00175585" w:rsidRPr="00175585" w:rsidRDefault="00175585" w:rsidP="00D32888">
      <w:pPr>
        <w:numPr>
          <w:ilvl w:val="0"/>
          <w:numId w:val="31"/>
        </w:numPr>
        <w:spacing w:after="200" w:line="276" w:lineRule="auto"/>
        <w:ind w:left="709" w:hanging="283"/>
        <w:rPr>
          <w:rFonts w:cs="Arial"/>
          <w:szCs w:val="24"/>
        </w:rPr>
      </w:pPr>
      <w:r w:rsidRPr="00175585">
        <w:rPr>
          <w:rFonts w:cs="Arial"/>
          <w:szCs w:val="24"/>
        </w:rPr>
        <w:t xml:space="preserve">Discretions, formulated through appropriate committee of the Council, will recognise the need to balance support for the employee against the need to exercise appropriate restraint in the use of public money. </w:t>
      </w:r>
    </w:p>
    <w:p w14:paraId="3267BFC4" w14:textId="77777777" w:rsidR="00175585" w:rsidRPr="00175585" w:rsidRDefault="00175585" w:rsidP="00175585">
      <w:pPr>
        <w:ind w:left="709"/>
        <w:rPr>
          <w:rFonts w:cs="Arial"/>
          <w:b/>
          <w:szCs w:val="24"/>
        </w:rPr>
      </w:pPr>
    </w:p>
    <w:p w14:paraId="51348A0F" w14:textId="77777777" w:rsidR="00175585" w:rsidRPr="00175585" w:rsidRDefault="00175585" w:rsidP="00175585">
      <w:pPr>
        <w:ind w:firstLine="426"/>
        <w:rPr>
          <w:rFonts w:cs="Arial"/>
          <w:szCs w:val="24"/>
        </w:rPr>
      </w:pPr>
      <w:r w:rsidRPr="00175585">
        <w:rPr>
          <w:rFonts w:cs="Arial"/>
          <w:b/>
          <w:szCs w:val="24"/>
        </w:rPr>
        <w:t>Operational practices</w:t>
      </w:r>
    </w:p>
    <w:p w14:paraId="67A142B4" w14:textId="77777777" w:rsidR="00175585" w:rsidRPr="00175585" w:rsidRDefault="00175585" w:rsidP="00D32888">
      <w:pPr>
        <w:numPr>
          <w:ilvl w:val="0"/>
          <w:numId w:val="34"/>
        </w:numPr>
        <w:spacing w:after="200" w:line="276" w:lineRule="auto"/>
        <w:ind w:left="709" w:hanging="283"/>
        <w:contextualSpacing/>
        <w:rPr>
          <w:rFonts w:cs="Arial"/>
          <w:szCs w:val="24"/>
        </w:rPr>
      </w:pPr>
      <w:r w:rsidRPr="00175585">
        <w:rPr>
          <w:rFonts w:cs="Arial"/>
          <w:szCs w:val="24"/>
        </w:rPr>
        <w:t xml:space="preserve">The Council will maintain and publish a set of local pension discretions required by LGPS Regulations. </w:t>
      </w:r>
    </w:p>
    <w:p w14:paraId="3088EAC1" w14:textId="77777777" w:rsidR="00175585" w:rsidRPr="00175585" w:rsidRDefault="00175585" w:rsidP="00175585">
      <w:pPr>
        <w:spacing w:line="276" w:lineRule="auto"/>
        <w:rPr>
          <w:rFonts w:eastAsia="Calibri"/>
          <w:sz w:val="28"/>
          <w:szCs w:val="28"/>
        </w:rPr>
      </w:pPr>
    </w:p>
    <w:p w14:paraId="0FA2AF28" w14:textId="77777777" w:rsidR="00175585" w:rsidRPr="00175585" w:rsidRDefault="00175585" w:rsidP="00175585">
      <w:pPr>
        <w:spacing w:line="276" w:lineRule="auto"/>
        <w:rPr>
          <w:rFonts w:eastAsia="Calibri"/>
          <w:sz w:val="28"/>
          <w:szCs w:val="28"/>
        </w:rPr>
      </w:pPr>
    </w:p>
    <w:p w14:paraId="6F26381E" w14:textId="77777777" w:rsidR="00175585" w:rsidRPr="00175585" w:rsidRDefault="00175585" w:rsidP="00175585">
      <w:pPr>
        <w:spacing w:line="276" w:lineRule="auto"/>
        <w:ind w:left="426"/>
        <w:rPr>
          <w:rFonts w:eastAsia="Calibri"/>
          <w:b/>
          <w:sz w:val="28"/>
          <w:szCs w:val="28"/>
        </w:rPr>
      </w:pPr>
      <w:r w:rsidRPr="00175585">
        <w:rPr>
          <w:rFonts w:eastAsia="Calibri"/>
          <w:b/>
          <w:sz w:val="28"/>
          <w:szCs w:val="28"/>
        </w:rPr>
        <w:t>Legislation</w:t>
      </w:r>
    </w:p>
    <w:p w14:paraId="2843C5A5" w14:textId="77777777" w:rsidR="00175585" w:rsidRPr="00175585" w:rsidRDefault="00175585" w:rsidP="00175585">
      <w:pPr>
        <w:spacing w:line="276" w:lineRule="auto"/>
        <w:ind w:left="426"/>
        <w:rPr>
          <w:rFonts w:eastAsia="Calibri"/>
          <w:b/>
          <w:szCs w:val="24"/>
        </w:rPr>
      </w:pPr>
    </w:p>
    <w:p w14:paraId="4B021066" w14:textId="77777777" w:rsidR="00175585" w:rsidRPr="00175585" w:rsidRDefault="00175585" w:rsidP="00175585">
      <w:pPr>
        <w:spacing w:line="276" w:lineRule="auto"/>
        <w:ind w:left="426"/>
        <w:rPr>
          <w:rFonts w:eastAsia="Calibri"/>
          <w:b/>
          <w:szCs w:val="24"/>
        </w:rPr>
      </w:pPr>
      <w:r w:rsidRPr="00175585">
        <w:rPr>
          <w:rFonts w:eastAsia="Calibri"/>
          <w:b/>
          <w:szCs w:val="24"/>
        </w:rPr>
        <w:t>Strategic principles</w:t>
      </w:r>
    </w:p>
    <w:p w14:paraId="293C0182" w14:textId="77777777" w:rsidR="00175585" w:rsidRPr="00175585" w:rsidRDefault="00175585" w:rsidP="00D32888">
      <w:pPr>
        <w:numPr>
          <w:ilvl w:val="0"/>
          <w:numId w:val="34"/>
        </w:numPr>
        <w:spacing w:after="200" w:line="276" w:lineRule="auto"/>
        <w:ind w:left="709" w:hanging="283"/>
        <w:contextualSpacing/>
        <w:rPr>
          <w:rFonts w:eastAsia="Calibri"/>
          <w:szCs w:val="24"/>
        </w:rPr>
      </w:pPr>
      <w:r w:rsidRPr="00175585">
        <w:rPr>
          <w:rFonts w:eastAsia="Calibri"/>
          <w:szCs w:val="24"/>
        </w:rPr>
        <w:t>The Council will ensure that pay and remuneration is treated correctly within relevant legislation.</w:t>
      </w:r>
    </w:p>
    <w:p w14:paraId="7E1293A4" w14:textId="77777777" w:rsidR="00175585" w:rsidRPr="00175585" w:rsidRDefault="00175585" w:rsidP="00175585">
      <w:pPr>
        <w:spacing w:line="276" w:lineRule="auto"/>
        <w:ind w:left="709"/>
        <w:contextualSpacing/>
        <w:rPr>
          <w:rFonts w:eastAsia="Calibri"/>
          <w:szCs w:val="24"/>
        </w:rPr>
      </w:pPr>
    </w:p>
    <w:p w14:paraId="29B6FC5B" w14:textId="77777777" w:rsidR="00175585" w:rsidRPr="00175585" w:rsidRDefault="00175585" w:rsidP="00175585">
      <w:pPr>
        <w:spacing w:line="276" w:lineRule="auto"/>
        <w:ind w:firstLine="426"/>
        <w:rPr>
          <w:rFonts w:eastAsia="Calibri"/>
          <w:b/>
          <w:szCs w:val="24"/>
        </w:rPr>
      </w:pPr>
      <w:r w:rsidRPr="00175585">
        <w:rPr>
          <w:rFonts w:eastAsia="Calibri"/>
          <w:b/>
          <w:szCs w:val="24"/>
        </w:rPr>
        <w:t>Operational practices</w:t>
      </w:r>
    </w:p>
    <w:p w14:paraId="6BFBF99C" w14:textId="77777777" w:rsidR="00175585" w:rsidRPr="00175585" w:rsidRDefault="00175585" w:rsidP="00D32888">
      <w:pPr>
        <w:numPr>
          <w:ilvl w:val="0"/>
          <w:numId w:val="34"/>
        </w:numPr>
        <w:spacing w:after="200" w:line="276" w:lineRule="auto"/>
        <w:ind w:left="709" w:hanging="283"/>
        <w:contextualSpacing/>
        <w:rPr>
          <w:rFonts w:eastAsia="Calibri"/>
          <w:szCs w:val="22"/>
        </w:rPr>
      </w:pPr>
      <w:r w:rsidRPr="00175585">
        <w:rPr>
          <w:rFonts w:eastAsia="Calibri"/>
          <w:szCs w:val="22"/>
        </w:rPr>
        <w:t xml:space="preserve">Tax and other statutory deductions including national insurance contributions will be made within legislation and under guidance of government agencies for employees, </w:t>
      </w:r>
      <w:proofErr w:type="gramStart"/>
      <w:r w:rsidRPr="00175585">
        <w:rPr>
          <w:rFonts w:eastAsia="Calibri"/>
          <w:szCs w:val="22"/>
        </w:rPr>
        <w:t>workers</w:t>
      </w:r>
      <w:proofErr w:type="gramEnd"/>
      <w:r w:rsidRPr="00175585">
        <w:rPr>
          <w:rFonts w:eastAsia="Calibri"/>
          <w:szCs w:val="22"/>
        </w:rPr>
        <w:t xml:space="preserve"> and contractors.</w:t>
      </w:r>
    </w:p>
    <w:p w14:paraId="3CA3CB9C" w14:textId="77777777" w:rsidR="00175585" w:rsidRPr="00175585" w:rsidRDefault="00175585" w:rsidP="00175585">
      <w:pPr>
        <w:spacing w:after="200" w:line="276" w:lineRule="auto"/>
        <w:ind w:left="709"/>
        <w:contextualSpacing/>
        <w:rPr>
          <w:rFonts w:eastAsia="Calibri"/>
          <w:szCs w:val="22"/>
        </w:rPr>
      </w:pPr>
    </w:p>
    <w:p w14:paraId="72C6F5E9" w14:textId="77777777" w:rsidR="00175585" w:rsidRPr="00175585" w:rsidRDefault="00175585" w:rsidP="00175585">
      <w:pPr>
        <w:spacing w:after="200" w:line="276" w:lineRule="auto"/>
        <w:ind w:left="426"/>
        <w:rPr>
          <w:rFonts w:eastAsia="Calibri"/>
          <w:b/>
          <w:szCs w:val="24"/>
        </w:rPr>
      </w:pPr>
      <w:r w:rsidRPr="00175585">
        <w:rPr>
          <w:rFonts w:eastAsia="Calibri"/>
          <w:b/>
          <w:szCs w:val="24"/>
        </w:rPr>
        <w:t xml:space="preserve"> </w:t>
      </w:r>
    </w:p>
    <w:p w14:paraId="55D4EE78" w14:textId="77777777" w:rsidR="00175585" w:rsidRPr="00175585" w:rsidRDefault="00175585" w:rsidP="00175585">
      <w:pPr>
        <w:spacing w:after="200" w:line="276" w:lineRule="auto"/>
        <w:rPr>
          <w:rFonts w:eastAsia="Calibri"/>
          <w:b/>
          <w:szCs w:val="24"/>
        </w:rPr>
      </w:pPr>
      <w:r w:rsidRPr="00175585">
        <w:rPr>
          <w:rFonts w:eastAsia="Calibri"/>
          <w:b/>
          <w:szCs w:val="24"/>
        </w:rPr>
        <w:br w:type="page"/>
      </w:r>
    </w:p>
    <w:p w14:paraId="64CD5120" w14:textId="77777777" w:rsidR="00175585" w:rsidRPr="00175585" w:rsidRDefault="00175585" w:rsidP="00175585">
      <w:pPr>
        <w:spacing w:after="200" w:line="276" w:lineRule="auto"/>
        <w:ind w:left="426"/>
        <w:rPr>
          <w:rFonts w:eastAsia="Calibri"/>
          <w:b/>
          <w:sz w:val="28"/>
          <w:szCs w:val="28"/>
        </w:rPr>
      </w:pPr>
    </w:p>
    <w:p w14:paraId="33AE292B" w14:textId="77777777" w:rsidR="00175585" w:rsidRPr="00175585" w:rsidRDefault="00175585" w:rsidP="00175585">
      <w:pPr>
        <w:spacing w:after="200" w:line="276" w:lineRule="auto"/>
        <w:jc w:val="right"/>
        <w:rPr>
          <w:rFonts w:eastAsia="Calibri"/>
          <w:szCs w:val="22"/>
        </w:rPr>
      </w:pPr>
      <w:r w:rsidRPr="00175585">
        <w:rPr>
          <w:rFonts w:eastAsia="Calibri"/>
          <w:szCs w:val="22"/>
        </w:rPr>
        <w:t>Document 1</w:t>
      </w:r>
    </w:p>
    <w:p w14:paraId="3B6E29B8" w14:textId="77777777" w:rsidR="00175585" w:rsidRPr="00175585" w:rsidRDefault="00175585" w:rsidP="00175585">
      <w:pPr>
        <w:spacing w:after="200" w:line="276" w:lineRule="auto"/>
        <w:jc w:val="center"/>
        <w:rPr>
          <w:rFonts w:eastAsia="Calibri"/>
          <w:b/>
          <w:szCs w:val="22"/>
        </w:rPr>
      </w:pPr>
      <w:r w:rsidRPr="00175585">
        <w:rPr>
          <w:rFonts w:eastAsia="Calibri"/>
          <w:b/>
          <w:szCs w:val="22"/>
        </w:rPr>
        <w:t xml:space="preserve">Policy statement to link pay to performance; NJC </w:t>
      </w:r>
      <w:proofErr w:type="gramStart"/>
      <w:r w:rsidRPr="00175585">
        <w:rPr>
          <w:rFonts w:eastAsia="Calibri"/>
          <w:b/>
          <w:szCs w:val="22"/>
        </w:rPr>
        <w:t>employees</w:t>
      </w:r>
      <w:proofErr w:type="gramEnd"/>
    </w:p>
    <w:p w14:paraId="0C433C2F" w14:textId="77777777" w:rsidR="00175585" w:rsidRPr="00175585" w:rsidRDefault="00175585" w:rsidP="00D32888">
      <w:pPr>
        <w:numPr>
          <w:ilvl w:val="0"/>
          <w:numId w:val="33"/>
        </w:numPr>
        <w:spacing w:after="200" w:line="276" w:lineRule="auto"/>
        <w:contextualSpacing/>
        <w:rPr>
          <w:rFonts w:cs="Arial"/>
          <w:szCs w:val="24"/>
        </w:rPr>
      </w:pPr>
      <w:proofErr w:type="gramStart"/>
      <w:r w:rsidRPr="00175585">
        <w:rPr>
          <w:rFonts w:cs="Arial"/>
          <w:szCs w:val="24"/>
        </w:rPr>
        <w:t>Usually</w:t>
      </w:r>
      <w:proofErr w:type="gramEnd"/>
      <w:r w:rsidRPr="00175585">
        <w:rPr>
          <w:rFonts w:cs="Arial"/>
          <w:szCs w:val="24"/>
        </w:rPr>
        <w:t xml:space="preserve"> employees appointed to a new post will start at the bottom incremental point of the grade for the post.  Where it can be demonstrated through the selection process that the appointee has relevant experience or qualifications, the </w:t>
      </w:r>
      <w:r w:rsidR="00EA654F">
        <w:rPr>
          <w:rFonts w:cs="Arial"/>
          <w:szCs w:val="24"/>
        </w:rPr>
        <w:t>Head of Service</w:t>
      </w:r>
      <w:r w:rsidRPr="00175585">
        <w:rPr>
          <w:rFonts w:cs="Arial"/>
          <w:szCs w:val="24"/>
        </w:rPr>
        <w:t xml:space="preserve"> may elect to appoint at a higher incremental point. </w:t>
      </w:r>
    </w:p>
    <w:p w14:paraId="0A687D5E" w14:textId="77777777" w:rsidR="00175585" w:rsidRPr="00175585" w:rsidRDefault="00175585" w:rsidP="00175585">
      <w:pPr>
        <w:ind w:left="786"/>
        <w:contextualSpacing/>
        <w:rPr>
          <w:rFonts w:cs="Arial"/>
          <w:szCs w:val="24"/>
        </w:rPr>
      </w:pPr>
    </w:p>
    <w:p w14:paraId="659E2BA7"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Employees will progress to the next incremental point on their grade on 1 April of each year except where the employee has been in post less than six months.  When an employee has been in post for less than six months </w:t>
      </w:r>
      <w:proofErr w:type="gramStart"/>
      <w:r w:rsidRPr="00175585">
        <w:rPr>
          <w:rFonts w:cs="Arial"/>
          <w:szCs w:val="24"/>
        </w:rPr>
        <w:t>at</w:t>
      </w:r>
      <w:proofErr w:type="gramEnd"/>
      <w:r w:rsidRPr="00175585">
        <w:rPr>
          <w:rFonts w:cs="Arial"/>
          <w:szCs w:val="24"/>
        </w:rPr>
        <w:t xml:space="preserve"> 1 April, they will progress to the next incremental point six months after appointment and thereafter on 1 April each year. This reflects national NJC conditions of service. </w:t>
      </w:r>
    </w:p>
    <w:p w14:paraId="7FFDA1D2" w14:textId="77777777" w:rsidR="00175585" w:rsidRPr="00175585" w:rsidRDefault="00175585" w:rsidP="00175585">
      <w:pPr>
        <w:ind w:left="786"/>
        <w:contextualSpacing/>
        <w:rPr>
          <w:rFonts w:cs="Arial"/>
          <w:szCs w:val="24"/>
        </w:rPr>
      </w:pPr>
    </w:p>
    <w:p w14:paraId="4035F4AB"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Employees will normally progress automatically through the incremental scale as described above. In the exceptional circumstances that an employee is not meeting standards of performance or behaviour required then the </w:t>
      </w:r>
      <w:r w:rsidR="00EA654F">
        <w:rPr>
          <w:rFonts w:cs="Arial"/>
          <w:szCs w:val="24"/>
        </w:rPr>
        <w:t>Head of Service</w:t>
      </w:r>
      <w:r w:rsidRPr="00175585">
        <w:rPr>
          <w:rFonts w:cs="Arial"/>
          <w:szCs w:val="24"/>
        </w:rPr>
        <w:t>, after consultation with a senior HR officer, may withhold an increment.  Any such action will be supported by an adverse probation report, extension of probationary service or other formal performance review mechanism.</w:t>
      </w:r>
    </w:p>
    <w:p w14:paraId="70F815DD" w14:textId="77777777" w:rsidR="00175585" w:rsidRPr="00175585" w:rsidRDefault="00175585" w:rsidP="00175585">
      <w:pPr>
        <w:ind w:left="426"/>
        <w:rPr>
          <w:rFonts w:cs="Arial"/>
          <w:szCs w:val="24"/>
        </w:rPr>
      </w:pPr>
    </w:p>
    <w:p w14:paraId="786BC601"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The reasons for withholding an increment will be explained to the employee and guidance given about areas for improvement such that incremental progression can continue when standards are met.</w:t>
      </w:r>
    </w:p>
    <w:p w14:paraId="599804FB" w14:textId="77777777" w:rsidR="00175585" w:rsidRPr="00175585" w:rsidRDefault="00175585" w:rsidP="00175585">
      <w:pPr>
        <w:ind w:left="786"/>
        <w:contextualSpacing/>
        <w:rPr>
          <w:rFonts w:cs="Arial"/>
          <w:szCs w:val="24"/>
        </w:rPr>
      </w:pPr>
    </w:p>
    <w:p w14:paraId="3803EB53"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Where an employee is dissatisfied with the reasons for withholding an annual increment, they may appeal in writing to the Chief Executive or other nominated JNC senior officer who will review the decision of the </w:t>
      </w:r>
      <w:r w:rsidR="00EA654F">
        <w:rPr>
          <w:rFonts w:cs="Arial"/>
          <w:szCs w:val="24"/>
        </w:rPr>
        <w:t>Head of Service</w:t>
      </w:r>
      <w:r w:rsidRPr="00175585">
        <w:rPr>
          <w:rFonts w:cs="Arial"/>
          <w:szCs w:val="24"/>
        </w:rPr>
        <w:t xml:space="preserve">. This appeal is final. </w:t>
      </w:r>
    </w:p>
    <w:p w14:paraId="09679656" w14:textId="77777777" w:rsidR="00175585" w:rsidRPr="00175585" w:rsidRDefault="00175585" w:rsidP="008E6256">
      <w:pPr>
        <w:spacing w:after="200" w:line="276" w:lineRule="auto"/>
        <w:jc w:val="right"/>
        <w:rPr>
          <w:rFonts w:eastAsia="Calibri"/>
          <w:szCs w:val="22"/>
        </w:rPr>
      </w:pPr>
      <w:r w:rsidRPr="00175585">
        <w:rPr>
          <w:rFonts w:eastAsia="Calibri"/>
          <w:szCs w:val="22"/>
        </w:rPr>
        <w:br w:type="page"/>
        <w:t>Document 2</w:t>
      </w:r>
    </w:p>
    <w:p w14:paraId="65FF2A25" w14:textId="77777777" w:rsidR="00175585" w:rsidRPr="00175585" w:rsidRDefault="00175585" w:rsidP="00175585">
      <w:pPr>
        <w:spacing w:after="200" w:line="276" w:lineRule="auto"/>
        <w:jc w:val="center"/>
        <w:rPr>
          <w:rFonts w:eastAsia="Calibri"/>
          <w:b/>
          <w:szCs w:val="22"/>
        </w:rPr>
      </w:pPr>
      <w:r w:rsidRPr="00175585">
        <w:rPr>
          <w:rFonts w:eastAsia="Calibri"/>
          <w:b/>
          <w:szCs w:val="22"/>
        </w:rPr>
        <w:t xml:space="preserve">Contractual terms to link pay to </w:t>
      </w:r>
      <w:proofErr w:type="gramStart"/>
      <w:r w:rsidRPr="00175585">
        <w:rPr>
          <w:rFonts w:eastAsia="Calibri"/>
          <w:b/>
          <w:szCs w:val="22"/>
        </w:rPr>
        <w:t>performance;</w:t>
      </w:r>
      <w:proofErr w:type="gramEnd"/>
      <w:r w:rsidRPr="00175585">
        <w:rPr>
          <w:rFonts w:eastAsia="Calibri"/>
          <w:b/>
          <w:szCs w:val="22"/>
        </w:rPr>
        <w:t xml:space="preserve"> </w:t>
      </w:r>
      <w:r w:rsidR="008E6256">
        <w:rPr>
          <w:rFonts w:eastAsia="Calibri"/>
          <w:b/>
          <w:szCs w:val="22"/>
        </w:rPr>
        <w:t xml:space="preserve">Chief Executive and </w:t>
      </w:r>
      <w:r w:rsidRPr="00175585">
        <w:rPr>
          <w:rFonts w:eastAsia="Calibri"/>
          <w:b/>
          <w:szCs w:val="22"/>
        </w:rPr>
        <w:t>Director</w:t>
      </w:r>
      <w:r w:rsidR="008E6256">
        <w:rPr>
          <w:rFonts w:eastAsia="Calibri"/>
          <w:b/>
          <w:szCs w:val="22"/>
        </w:rPr>
        <w:t>s</w:t>
      </w:r>
    </w:p>
    <w:p w14:paraId="0900C388" w14:textId="77777777" w:rsidR="008E6256" w:rsidRPr="008E6256" w:rsidRDefault="008E6256" w:rsidP="008E6256">
      <w:pPr>
        <w:rPr>
          <w:rFonts w:eastAsia="Calibri"/>
          <w:szCs w:val="22"/>
        </w:rPr>
      </w:pPr>
      <w:r w:rsidRPr="008E6256">
        <w:rPr>
          <w:rFonts w:eastAsia="Calibri"/>
          <w:szCs w:val="22"/>
        </w:rPr>
        <w:t>Chief Executive; Pay and Performance Policy</w:t>
      </w:r>
    </w:p>
    <w:p w14:paraId="7D59F612" w14:textId="77777777" w:rsidR="008E6256" w:rsidRPr="00FC0F37" w:rsidRDefault="008E6256" w:rsidP="008E6256">
      <w:pPr>
        <w:rPr>
          <w:rFonts w:eastAsia="Calibri"/>
          <w:sz w:val="18"/>
          <w:szCs w:val="18"/>
        </w:rPr>
      </w:pPr>
    </w:p>
    <w:p w14:paraId="7F41FD2E" w14:textId="77777777" w:rsidR="008E6256" w:rsidRDefault="008E6256" w:rsidP="00D32888">
      <w:pPr>
        <w:numPr>
          <w:ilvl w:val="0"/>
          <w:numId w:val="35"/>
        </w:numPr>
        <w:spacing w:after="240"/>
        <w:rPr>
          <w:rFonts w:eastAsia="Calibri"/>
          <w:szCs w:val="22"/>
        </w:rPr>
      </w:pPr>
      <w:r w:rsidRPr="001D75FF">
        <w:rPr>
          <w:rFonts w:eastAsia="Calibri"/>
          <w:szCs w:val="22"/>
        </w:rPr>
        <w:t xml:space="preserve">The ACSC will determine to which point within the scale the appointment will be made </w:t>
      </w:r>
      <w:proofErr w:type="gramStart"/>
      <w:r w:rsidRPr="001D75FF">
        <w:rPr>
          <w:rFonts w:eastAsia="Calibri"/>
          <w:szCs w:val="22"/>
        </w:rPr>
        <w:t>taking into account</w:t>
      </w:r>
      <w:proofErr w:type="gramEnd"/>
      <w:r w:rsidRPr="001D75FF">
        <w:rPr>
          <w:rFonts w:eastAsia="Calibri"/>
          <w:szCs w:val="22"/>
        </w:rPr>
        <w:t xml:space="preserve"> appropriate experience and skill set. </w:t>
      </w:r>
    </w:p>
    <w:p w14:paraId="219ADC9A" w14:textId="77777777" w:rsidR="008E6256" w:rsidRDefault="008E6256" w:rsidP="00D32888">
      <w:pPr>
        <w:numPr>
          <w:ilvl w:val="0"/>
          <w:numId w:val="35"/>
        </w:numPr>
        <w:spacing w:after="240"/>
        <w:rPr>
          <w:rFonts w:eastAsia="Calibri"/>
          <w:szCs w:val="22"/>
        </w:rPr>
      </w:pPr>
      <w:r w:rsidRPr="008E6256">
        <w:rPr>
          <w:rFonts w:eastAsia="Calibri"/>
          <w:szCs w:val="22"/>
        </w:rPr>
        <w:t>A formal performance and pay review will be conducted annually prior to the anniversary of appointment.</w:t>
      </w:r>
    </w:p>
    <w:p w14:paraId="4D0DC268" w14:textId="77777777" w:rsidR="008E6256" w:rsidRDefault="008E6256" w:rsidP="00D32888">
      <w:pPr>
        <w:numPr>
          <w:ilvl w:val="0"/>
          <w:numId w:val="35"/>
        </w:numPr>
        <w:spacing w:after="240"/>
        <w:rPr>
          <w:rFonts w:eastAsia="Calibri"/>
          <w:szCs w:val="22"/>
        </w:rPr>
      </w:pPr>
      <w:r w:rsidRPr="008E6256">
        <w:rPr>
          <w:rFonts w:eastAsia="Calibri"/>
          <w:szCs w:val="22"/>
        </w:rPr>
        <w:t>The performance and pay review will be conducted by the ACSC.</w:t>
      </w:r>
      <w:r>
        <w:rPr>
          <w:rFonts w:eastAsia="Calibri"/>
          <w:szCs w:val="22"/>
        </w:rPr>
        <w:t xml:space="preserve"> </w:t>
      </w:r>
    </w:p>
    <w:p w14:paraId="23E7EE0B" w14:textId="77777777" w:rsidR="008E6256" w:rsidRDefault="008E6256" w:rsidP="00D32888">
      <w:pPr>
        <w:numPr>
          <w:ilvl w:val="0"/>
          <w:numId w:val="35"/>
        </w:numPr>
        <w:spacing w:after="240"/>
        <w:rPr>
          <w:rFonts w:eastAsia="Calibri"/>
          <w:szCs w:val="22"/>
        </w:rPr>
      </w:pPr>
      <w:r w:rsidRPr="008E6256">
        <w:rPr>
          <w:rFonts w:eastAsia="Calibri"/>
          <w:szCs w:val="22"/>
        </w:rPr>
        <w:t>Should the ACSC determine that performance meets or exceeds the expected standards then annual progression of pay will be applied until the top pay point of the scale is reached. Once the top pay point is reached pay will remain at this level whilst performance continues to meet or exceed expected standards.</w:t>
      </w:r>
      <w:r>
        <w:rPr>
          <w:rFonts w:eastAsia="Calibri"/>
          <w:szCs w:val="22"/>
        </w:rPr>
        <w:t xml:space="preserve"> </w:t>
      </w:r>
    </w:p>
    <w:p w14:paraId="13A3E2CE" w14:textId="77777777" w:rsidR="008E6256" w:rsidRPr="008E6256" w:rsidRDefault="008E6256" w:rsidP="00D32888">
      <w:pPr>
        <w:numPr>
          <w:ilvl w:val="0"/>
          <w:numId w:val="35"/>
        </w:numPr>
        <w:spacing w:after="240"/>
        <w:rPr>
          <w:rFonts w:eastAsia="Calibri"/>
          <w:szCs w:val="22"/>
        </w:rPr>
      </w:pPr>
      <w:r w:rsidRPr="008E6256">
        <w:rPr>
          <w:rFonts w:eastAsia="Calibri"/>
          <w:szCs w:val="22"/>
        </w:rPr>
        <w:t>Should the ACSC determine that performance is unsatisfactory then consideration will be given to applying the following process relating to pay:</w:t>
      </w:r>
    </w:p>
    <w:p w14:paraId="1140C544" w14:textId="77777777" w:rsidR="008E6256" w:rsidRPr="001D75FF" w:rsidRDefault="008E6256" w:rsidP="008E6256">
      <w:pPr>
        <w:ind w:left="851" w:hanging="141"/>
        <w:rPr>
          <w:rFonts w:eastAsia="Calibri"/>
          <w:szCs w:val="22"/>
        </w:rPr>
      </w:pPr>
      <w:r w:rsidRPr="001D75FF">
        <w:rPr>
          <w:rFonts w:eastAsia="Calibri"/>
          <w:szCs w:val="22"/>
        </w:rPr>
        <w:t xml:space="preserve">- if the post holder is at the bottom or middle point of the pay scale at the time of the review then there will be no progression to the next pay point until a future review by the ACSC confirms satisfactory performance. This review will normally take place a year later although the ACSC may choose to conduct an interim review at an earlier date if this is appropriate. </w:t>
      </w:r>
    </w:p>
    <w:p w14:paraId="7CDC7FAA" w14:textId="77777777" w:rsidR="008E6256" w:rsidRPr="00FC0F37" w:rsidRDefault="008E6256" w:rsidP="008E6256">
      <w:pPr>
        <w:ind w:left="851" w:hanging="141"/>
        <w:rPr>
          <w:rFonts w:eastAsia="Calibri"/>
          <w:sz w:val="16"/>
          <w:szCs w:val="16"/>
        </w:rPr>
      </w:pPr>
    </w:p>
    <w:p w14:paraId="321AA547" w14:textId="77777777" w:rsidR="008E6256" w:rsidRPr="001D75FF" w:rsidRDefault="008E6256" w:rsidP="00F67E8B">
      <w:pPr>
        <w:ind w:left="851" w:hanging="141"/>
        <w:rPr>
          <w:rFonts w:eastAsia="Calibri"/>
          <w:szCs w:val="22"/>
        </w:rPr>
      </w:pPr>
      <w:r w:rsidRPr="001D75FF">
        <w:rPr>
          <w:rFonts w:eastAsia="Calibri"/>
          <w:szCs w:val="22"/>
        </w:rPr>
        <w:t xml:space="preserve">- if the post holder is at the top point of the pay scale at the time of the </w:t>
      </w:r>
      <w:proofErr w:type="gramStart"/>
      <w:r w:rsidRPr="001D75FF">
        <w:rPr>
          <w:rFonts w:eastAsia="Calibri"/>
          <w:szCs w:val="22"/>
        </w:rPr>
        <w:t>review</w:t>
      </w:r>
      <w:proofErr w:type="gramEnd"/>
      <w:r w:rsidRPr="001D75FF">
        <w:rPr>
          <w:rFonts w:eastAsia="Calibri"/>
          <w:szCs w:val="22"/>
        </w:rPr>
        <w:t xml:space="preserve"> then from the anniversary of the appointment date pay will be reduced to the middle point of the pay scale and held at that point until satisfactory performance is confirmed through a future review which will be undertaken as described above. </w:t>
      </w:r>
    </w:p>
    <w:p w14:paraId="43436CD5" w14:textId="77777777" w:rsidR="00F67E8B" w:rsidRDefault="00F67E8B" w:rsidP="00F67E8B">
      <w:pPr>
        <w:spacing w:line="276" w:lineRule="auto"/>
        <w:rPr>
          <w:rFonts w:eastAsia="Calibri"/>
          <w:szCs w:val="22"/>
          <w:lang w:val="en-US"/>
        </w:rPr>
      </w:pPr>
    </w:p>
    <w:p w14:paraId="0CB311A1" w14:textId="77777777" w:rsidR="00F67E8B" w:rsidRPr="00F67E8B" w:rsidRDefault="00175585" w:rsidP="00F67E8B">
      <w:pPr>
        <w:spacing w:line="276" w:lineRule="auto"/>
        <w:rPr>
          <w:rFonts w:eastAsia="Calibri"/>
          <w:szCs w:val="22"/>
          <w:lang w:val="en-US"/>
        </w:rPr>
      </w:pPr>
      <w:r w:rsidRPr="00175585">
        <w:rPr>
          <w:rFonts w:eastAsia="Calibri"/>
          <w:szCs w:val="22"/>
          <w:lang w:val="en-US"/>
        </w:rPr>
        <w:t>Director; Pay and Performance Policy</w:t>
      </w:r>
    </w:p>
    <w:p w14:paraId="4CB816B1" w14:textId="77777777" w:rsidR="00F67E8B" w:rsidRPr="008D3A97" w:rsidRDefault="00F67E8B" w:rsidP="00D32888">
      <w:pPr>
        <w:numPr>
          <w:ilvl w:val="0"/>
          <w:numId w:val="41"/>
        </w:numPr>
        <w:rPr>
          <w:rFonts w:cs="Arial"/>
          <w:color w:val="000000"/>
          <w:szCs w:val="24"/>
        </w:rPr>
      </w:pPr>
      <w:r w:rsidRPr="008D3A97">
        <w:rPr>
          <w:rFonts w:cs="Arial"/>
          <w:color w:val="000000"/>
          <w:szCs w:val="24"/>
        </w:rPr>
        <w:t xml:space="preserve">Appointment to any </w:t>
      </w:r>
      <w:r>
        <w:rPr>
          <w:rFonts w:cs="Arial"/>
          <w:color w:val="000000"/>
          <w:szCs w:val="24"/>
        </w:rPr>
        <w:t xml:space="preserve">post of </w:t>
      </w:r>
      <w:r w:rsidRPr="008D3A97">
        <w:rPr>
          <w:rFonts w:cs="Arial"/>
          <w:color w:val="000000"/>
          <w:szCs w:val="24"/>
        </w:rPr>
        <w:t xml:space="preserve">Director will </w:t>
      </w:r>
      <w:r>
        <w:rPr>
          <w:rFonts w:cs="Arial"/>
          <w:color w:val="000000"/>
          <w:szCs w:val="24"/>
        </w:rPr>
        <w:t xml:space="preserve">normally </w:t>
      </w:r>
      <w:r w:rsidRPr="008D3A97">
        <w:rPr>
          <w:rFonts w:cs="Arial"/>
          <w:color w:val="000000"/>
          <w:szCs w:val="24"/>
        </w:rPr>
        <w:t>be made at the bottom scale point of a three-point pay scale.</w:t>
      </w:r>
    </w:p>
    <w:p w14:paraId="4D4B6FE6" w14:textId="77777777" w:rsidR="00F67E8B" w:rsidRPr="008D3A97" w:rsidRDefault="00F67E8B" w:rsidP="00F67E8B">
      <w:pPr>
        <w:ind w:left="720"/>
        <w:rPr>
          <w:rFonts w:cs="Arial"/>
          <w:color w:val="000000"/>
          <w:szCs w:val="24"/>
        </w:rPr>
      </w:pPr>
    </w:p>
    <w:p w14:paraId="62109E19" w14:textId="77777777" w:rsidR="00F67E8B" w:rsidRPr="008D3A97" w:rsidRDefault="00F67E8B" w:rsidP="00D32888">
      <w:pPr>
        <w:numPr>
          <w:ilvl w:val="0"/>
          <w:numId w:val="41"/>
        </w:numPr>
        <w:rPr>
          <w:rFonts w:cs="Arial"/>
          <w:color w:val="000000"/>
          <w:szCs w:val="24"/>
        </w:rPr>
      </w:pPr>
      <w:r w:rsidRPr="008D3A97">
        <w:rPr>
          <w:rFonts w:cs="Arial"/>
          <w:color w:val="000000"/>
          <w:szCs w:val="24"/>
        </w:rPr>
        <w:t>A formal performance review will be conducted by the Chief Executive to determine suitability to progress to the mid-point of the grade after one year’s service in post and following consultation with the Appointments and Conditions of Service Committee.</w:t>
      </w:r>
    </w:p>
    <w:p w14:paraId="328E133A" w14:textId="77777777" w:rsidR="00F67E8B" w:rsidRPr="008D3A97" w:rsidRDefault="00F67E8B" w:rsidP="00F67E8B">
      <w:pPr>
        <w:ind w:left="720"/>
        <w:rPr>
          <w:rFonts w:cs="Arial"/>
          <w:color w:val="000000"/>
          <w:szCs w:val="24"/>
        </w:rPr>
      </w:pPr>
    </w:p>
    <w:p w14:paraId="0F84725D" w14:textId="77777777" w:rsidR="00F67E8B" w:rsidRPr="008D3A97" w:rsidRDefault="00F67E8B" w:rsidP="00D32888">
      <w:pPr>
        <w:numPr>
          <w:ilvl w:val="0"/>
          <w:numId w:val="41"/>
        </w:numPr>
        <w:rPr>
          <w:rFonts w:cs="Arial"/>
          <w:color w:val="000000"/>
          <w:szCs w:val="24"/>
        </w:rPr>
      </w:pPr>
      <w:r w:rsidRPr="008D3A97">
        <w:rPr>
          <w:rFonts w:cs="Arial"/>
          <w:color w:val="000000"/>
          <w:szCs w:val="24"/>
        </w:rPr>
        <w:t xml:space="preserve">Should the Chief Executive determine that performance is unsatisfactory, pay will remain at the bottom point of the pay </w:t>
      </w:r>
      <w:proofErr w:type="gramStart"/>
      <w:r w:rsidRPr="008D3A97">
        <w:rPr>
          <w:rFonts w:cs="Arial"/>
          <w:color w:val="000000"/>
          <w:szCs w:val="24"/>
        </w:rPr>
        <w:t>grade</w:t>
      </w:r>
      <w:proofErr w:type="gramEnd"/>
      <w:r w:rsidRPr="008D3A97">
        <w:rPr>
          <w:rFonts w:cs="Arial"/>
          <w:color w:val="000000"/>
          <w:szCs w:val="24"/>
        </w:rPr>
        <w:t xml:space="preserve"> </w:t>
      </w:r>
    </w:p>
    <w:p w14:paraId="6724088A" w14:textId="77777777" w:rsidR="00F67E8B" w:rsidRPr="008D3A97" w:rsidRDefault="00F67E8B" w:rsidP="00F67E8B">
      <w:pPr>
        <w:ind w:left="720"/>
        <w:rPr>
          <w:rFonts w:cs="Arial"/>
          <w:color w:val="000000"/>
          <w:szCs w:val="24"/>
        </w:rPr>
      </w:pPr>
    </w:p>
    <w:p w14:paraId="6C687D28" w14:textId="77777777" w:rsidR="00F67E8B" w:rsidRPr="008D3A97" w:rsidRDefault="00F67E8B" w:rsidP="00D32888">
      <w:pPr>
        <w:numPr>
          <w:ilvl w:val="0"/>
          <w:numId w:val="41"/>
        </w:numPr>
        <w:rPr>
          <w:rFonts w:cs="Arial"/>
          <w:color w:val="000000"/>
          <w:szCs w:val="24"/>
        </w:rPr>
      </w:pPr>
      <w:r w:rsidRPr="008D3A97">
        <w:rPr>
          <w:rFonts w:cs="Arial"/>
          <w:color w:val="000000"/>
          <w:szCs w:val="24"/>
        </w:rPr>
        <w:t xml:space="preserve">Payment of the top pay point of the grade to be determined annually by formal performance review conducted by the Chief Executive and following consultation with the Appointments and Conditions of Service Committee.  Subject to satisfactory performance, payment of the top pay point will be made </w:t>
      </w:r>
      <w:r>
        <w:rPr>
          <w:rFonts w:cs="Arial"/>
          <w:color w:val="000000"/>
          <w:szCs w:val="24"/>
        </w:rPr>
        <w:t xml:space="preserve">through annual progression of </w:t>
      </w:r>
      <w:r w:rsidRPr="008D3A97">
        <w:rPr>
          <w:rFonts w:cs="Arial"/>
          <w:color w:val="000000"/>
          <w:szCs w:val="24"/>
        </w:rPr>
        <w:t xml:space="preserve">service in post and, again subject to satisfactory performance, </w:t>
      </w:r>
      <w:r>
        <w:rPr>
          <w:rFonts w:cs="Arial"/>
          <w:color w:val="000000"/>
          <w:szCs w:val="24"/>
        </w:rPr>
        <w:t>will remain there</w:t>
      </w:r>
      <w:r w:rsidRPr="008D3A97">
        <w:rPr>
          <w:rFonts w:cs="Arial"/>
          <w:color w:val="000000"/>
          <w:szCs w:val="24"/>
        </w:rPr>
        <w:t xml:space="preserve"> thereafter.  Should the Chief Executive determine that performance is unsatisfactory, pay will remain at, or be reduced to, the mid-point of the pay grade. </w:t>
      </w:r>
    </w:p>
    <w:p w14:paraId="7F965E5D" w14:textId="77777777" w:rsidR="00F67E8B" w:rsidRPr="008D3A97" w:rsidRDefault="00F67E8B" w:rsidP="00F67E8B">
      <w:pPr>
        <w:ind w:left="720"/>
        <w:rPr>
          <w:rFonts w:cs="Arial"/>
          <w:color w:val="000000"/>
          <w:szCs w:val="24"/>
        </w:rPr>
      </w:pPr>
    </w:p>
    <w:p w14:paraId="46AF1949" w14:textId="77777777" w:rsidR="00F67E8B" w:rsidRDefault="00F67E8B" w:rsidP="00D32888">
      <w:pPr>
        <w:numPr>
          <w:ilvl w:val="0"/>
          <w:numId w:val="41"/>
        </w:numPr>
        <w:rPr>
          <w:rFonts w:cs="Arial"/>
          <w:color w:val="000000"/>
          <w:szCs w:val="24"/>
        </w:rPr>
      </w:pPr>
      <w:r w:rsidRPr="008D3A97">
        <w:rPr>
          <w:rFonts w:cs="Arial"/>
          <w:color w:val="000000"/>
          <w:szCs w:val="24"/>
        </w:rPr>
        <w:t>The detail of the performance review scheme is determined by the Chief Executive.</w:t>
      </w:r>
    </w:p>
    <w:p w14:paraId="4669D6F7" w14:textId="77777777" w:rsidR="00175585" w:rsidRPr="00B21287" w:rsidRDefault="00175585" w:rsidP="00FC0F37">
      <w:pPr>
        <w:pStyle w:val="ListParagraph"/>
        <w:jc w:val="right"/>
      </w:pPr>
      <w:r w:rsidRPr="00B21287">
        <w:br w:type="page"/>
        <w:t>Document 3</w:t>
      </w:r>
    </w:p>
    <w:p w14:paraId="6568AC94" w14:textId="77777777" w:rsidR="00175585" w:rsidRPr="00175585" w:rsidRDefault="00175585" w:rsidP="00175585">
      <w:pPr>
        <w:spacing w:after="200" w:line="276" w:lineRule="auto"/>
        <w:jc w:val="center"/>
        <w:rPr>
          <w:rFonts w:eastAsia="Calibri"/>
          <w:b/>
          <w:szCs w:val="22"/>
        </w:rPr>
      </w:pPr>
      <w:r w:rsidRPr="00175585">
        <w:rPr>
          <w:rFonts w:eastAsia="Calibri"/>
          <w:b/>
          <w:szCs w:val="22"/>
        </w:rPr>
        <w:t xml:space="preserve">Contractual terms to link pay to </w:t>
      </w:r>
      <w:proofErr w:type="gramStart"/>
      <w:r w:rsidRPr="00175585">
        <w:rPr>
          <w:rFonts w:eastAsia="Calibri"/>
          <w:b/>
          <w:szCs w:val="22"/>
        </w:rPr>
        <w:t>performance;</w:t>
      </w:r>
      <w:proofErr w:type="gramEnd"/>
      <w:r w:rsidRPr="00175585">
        <w:rPr>
          <w:rFonts w:eastAsia="Calibri"/>
          <w:b/>
          <w:szCs w:val="22"/>
        </w:rPr>
        <w:t xml:space="preserve"> </w:t>
      </w:r>
      <w:r w:rsidR="00EA654F">
        <w:rPr>
          <w:rFonts w:eastAsia="Calibri"/>
          <w:b/>
          <w:szCs w:val="22"/>
        </w:rPr>
        <w:t>Head of Service</w:t>
      </w:r>
    </w:p>
    <w:p w14:paraId="7BB1845A" w14:textId="77777777" w:rsidR="00175585" w:rsidRPr="00175585" w:rsidRDefault="00EA654F" w:rsidP="00175585">
      <w:pPr>
        <w:spacing w:after="200" w:line="276" w:lineRule="auto"/>
        <w:rPr>
          <w:rFonts w:eastAsia="Calibri"/>
          <w:szCs w:val="22"/>
          <w:lang w:val="en-US"/>
        </w:rPr>
      </w:pPr>
      <w:r>
        <w:rPr>
          <w:rFonts w:eastAsia="Calibri"/>
          <w:szCs w:val="22"/>
          <w:lang w:val="en-US"/>
        </w:rPr>
        <w:t xml:space="preserve">Heads of </w:t>
      </w:r>
      <w:r w:rsidR="00175585" w:rsidRPr="00175585">
        <w:rPr>
          <w:rFonts w:eastAsia="Calibri"/>
          <w:szCs w:val="22"/>
          <w:lang w:val="en-US"/>
        </w:rPr>
        <w:t>Service Pay and Performance Policy</w:t>
      </w:r>
    </w:p>
    <w:p w14:paraId="642F61AF" w14:textId="77777777" w:rsidR="00175585" w:rsidRPr="00175585" w:rsidRDefault="00EA654F" w:rsidP="00D32888">
      <w:pPr>
        <w:numPr>
          <w:ilvl w:val="0"/>
          <w:numId w:val="28"/>
        </w:numPr>
        <w:spacing w:after="200" w:line="276" w:lineRule="auto"/>
        <w:rPr>
          <w:rFonts w:eastAsia="Calibri"/>
          <w:szCs w:val="22"/>
        </w:rPr>
      </w:pPr>
      <w:r>
        <w:rPr>
          <w:rFonts w:eastAsia="Calibri"/>
          <w:szCs w:val="22"/>
        </w:rPr>
        <w:t>Head of Service</w:t>
      </w:r>
      <w:r w:rsidR="00175585" w:rsidRPr="00175585">
        <w:rPr>
          <w:rFonts w:eastAsia="Calibri"/>
          <w:szCs w:val="22"/>
        </w:rPr>
        <w:t xml:space="preserve"> posts are based on a three-point pay scale related to the maximum pay of directors.</w:t>
      </w:r>
    </w:p>
    <w:p w14:paraId="08C3737C" w14:textId="77777777" w:rsidR="00175585" w:rsidRPr="00175585" w:rsidRDefault="00175585" w:rsidP="00D32888">
      <w:pPr>
        <w:numPr>
          <w:ilvl w:val="0"/>
          <w:numId w:val="28"/>
        </w:numPr>
        <w:spacing w:after="200" w:line="276" w:lineRule="auto"/>
        <w:rPr>
          <w:rFonts w:eastAsia="Calibri"/>
          <w:szCs w:val="22"/>
        </w:rPr>
      </w:pPr>
      <w:r w:rsidRPr="00175585">
        <w:rPr>
          <w:rFonts w:eastAsia="Calibri"/>
          <w:szCs w:val="22"/>
        </w:rPr>
        <w:t xml:space="preserve">Under normal circumstances, at the start of employment as a </w:t>
      </w:r>
      <w:r w:rsidR="00EA654F">
        <w:rPr>
          <w:rFonts w:eastAsia="Calibri"/>
          <w:szCs w:val="22"/>
        </w:rPr>
        <w:t>Head of Service</w:t>
      </w:r>
      <w:r w:rsidRPr="00175585">
        <w:rPr>
          <w:rFonts w:eastAsia="Calibri"/>
          <w:szCs w:val="22"/>
        </w:rPr>
        <w:t>, pay will be based on the bottom pay point of the grade.</w:t>
      </w:r>
    </w:p>
    <w:p w14:paraId="4D3207A8" w14:textId="77777777" w:rsidR="00175585" w:rsidRPr="00175585" w:rsidRDefault="00175585" w:rsidP="00D32888">
      <w:pPr>
        <w:numPr>
          <w:ilvl w:val="0"/>
          <w:numId w:val="28"/>
        </w:numPr>
        <w:spacing w:after="200" w:line="276" w:lineRule="auto"/>
        <w:rPr>
          <w:rFonts w:eastAsia="Calibri"/>
          <w:szCs w:val="22"/>
        </w:rPr>
      </w:pPr>
      <w:r w:rsidRPr="00175585">
        <w:rPr>
          <w:rFonts w:eastAsia="Calibri"/>
          <w:szCs w:val="22"/>
        </w:rPr>
        <w:t>Progression to the next pay point will follow the general rules applying to NJC officers in respect to timing of awards.</w:t>
      </w:r>
    </w:p>
    <w:p w14:paraId="135C86EF" w14:textId="77777777" w:rsidR="00175585" w:rsidRPr="00175585" w:rsidRDefault="00175585" w:rsidP="00D32888">
      <w:pPr>
        <w:numPr>
          <w:ilvl w:val="0"/>
          <w:numId w:val="28"/>
        </w:numPr>
        <w:spacing w:after="200" w:line="276" w:lineRule="auto"/>
        <w:rPr>
          <w:rFonts w:eastAsia="Calibri"/>
          <w:szCs w:val="22"/>
        </w:rPr>
      </w:pPr>
      <w:r w:rsidRPr="00175585">
        <w:rPr>
          <w:rFonts w:eastAsia="Calibri"/>
          <w:szCs w:val="22"/>
        </w:rPr>
        <w:t>Directors</w:t>
      </w:r>
      <w:r w:rsidR="00EA654F">
        <w:rPr>
          <w:rFonts w:eastAsia="Calibri"/>
          <w:szCs w:val="22"/>
        </w:rPr>
        <w:t xml:space="preserve"> that</w:t>
      </w:r>
      <w:r w:rsidRPr="00175585">
        <w:rPr>
          <w:rFonts w:eastAsia="Calibri"/>
          <w:szCs w:val="22"/>
        </w:rPr>
        <w:t xml:space="preserve"> line-manage </w:t>
      </w:r>
      <w:r w:rsidR="00EA654F">
        <w:rPr>
          <w:rFonts w:eastAsia="Calibri"/>
          <w:szCs w:val="22"/>
        </w:rPr>
        <w:t>Heads of Service</w:t>
      </w:r>
      <w:r w:rsidRPr="00175585">
        <w:rPr>
          <w:rFonts w:eastAsia="Calibri"/>
          <w:szCs w:val="22"/>
        </w:rPr>
        <w:t xml:space="preserve"> are responsible for setting clear standards of expectation relating to performance or behaviour.  Any shortfall against these expectations will be identified to the </w:t>
      </w:r>
      <w:r w:rsidR="00EA654F">
        <w:rPr>
          <w:rFonts w:eastAsia="Calibri"/>
          <w:szCs w:val="22"/>
        </w:rPr>
        <w:t>Head of Service</w:t>
      </w:r>
      <w:r w:rsidRPr="00175585">
        <w:rPr>
          <w:rFonts w:eastAsia="Calibri"/>
          <w:szCs w:val="22"/>
        </w:rPr>
        <w:t xml:space="preserve"> by a director, normally at the time that the director becomes aware of the issue.  Often, improvement will be sought through the introduction of appropriate support or training without further measures being employed.  </w:t>
      </w:r>
      <w:proofErr w:type="gramStart"/>
      <w:r w:rsidRPr="00175585">
        <w:rPr>
          <w:rFonts w:eastAsia="Calibri"/>
          <w:szCs w:val="22"/>
        </w:rPr>
        <w:t>If</w:t>
      </w:r>
      <w:proofErr w:type="gramEnd"/>
      <w:r w:rsidRPr="00175585">
        <w:rPr>
          <w:rFonts w:eastAsia="Calibri"/>
          <w:szCs w:val="22"/>
        </w:rPr>
        <w:t xml:space="preserve"> however the matter is sufficiently serious or an improvement identified as necessary is not initially forthcoming within a timescale required by the director then that director may choose to freeze the </w:t>
      </w:r>
      <w:r w:rsidR="00EA654F">
        <w:rPr>
          <w:rFonts w:eastAsia="Calibri"/>
          <w:szCs w:val="22"/>
        </w:rPr>
        <w:t>Head of Service</w:t>
      </w:r>
      <w:r w:rsidRPr="00175585">
        <w:rPr>
          <w:rFonts w:eastAsia="Calibri"/>
          <w:szCs w:val="22"/>
        </w:rPr>
        <w:t xml:space="preserve"> on their current pay point (prevent progression to the next pay point when it would otherwise have been made) or to reduce their pay by one or more pay points.</w:t>
      </w:r>
    </w:p>
    <w:p w14:paraId="5FB13C90" w14:textId="77777777" w:rsidR="00175585" w:rsidRPr="00175585" w:rsidRDefault="00175585" w:rsidP="00D32888">
      <w:pPr>
        <w:numPr>
          <w:ilvl w:val="0"/>
          <w:numId w:val="28"/>
        </w:numPr>
        <w:spacing w:after="200" w:line="276" w:lineRule="auto"/>
        <w:rPr>
          <w:rFonts w:eastAsia="Calibri"/>
          <w:szCs w:val="22"/>
        </w:rPr>
      </w:pPr>
      <w:r w:rsidRPr="00175585">
        <w:rPr>
          <w:rFonts w:eastAsia="Calibri"/>
          <w:szCs w:val="22"/>
        </w:rPr>
        <w:t xml:space="preserve">One month’s notice will be given of the intention to reduce pay.  </w:t>
      </w:r>
    </w:p>
    <w:p w14:paraId="2D6D53EE" w14:textId="77777777" w:rsidR="00175585" w:rsidRPr="00175585" w:rsidRDefault="00175585" w:rsidP="00D32888">
      <w:pPr>
        <w:numPr>
          <w:ilvl w:val="0"/>
          <w:numId w:val="28"/>
        </w:numPr>
        <w:spacing w:after="200" w:line="276" w:lineRule="auto"/>
        <w:rPr>
          <w:rFonts w:eastAsia="Calibri"/>
          <w:szCs w:val="22"/>
        </w:rPr>
      </w:pPr>
      <w:r w:rsidRPr="00175585">
        <w:rPr>
          <w:rFonts w:eastAsia="Calibri"/>
          <w:szCs w:val="22"/>
        </w:rPr>
        <w:t xml:space="preserve">Should pay be reduced, this change will be applied for a minimum of six months.  The length of reduction will be determined by the director. At the end of the period defined by the director, during which time progress against an improvement plan will be monitored, should improvement be satisfactory then pay will be returned to the previous. </w:t>
      </w:r>
    </w:p>
    <w:p w14:paraId="56398F5A" w14:textId="77777777" w:rsidR="00175585" w:rsidRPr="00175585" w:rsidRDefault="00175585" w:rsidP="00D32888">
      <w:pPr>
        <w:numPr>
          <w:ilvl w:val="0"/>
          <w:numId w:val="28"/>
        </w:numPr>
        <w:spacing w:after="200" w:line="276" w:lineRule="auto"/>
        <w:rPr>
          <w:rFonts w:eastAsia="Calibri"/>
          <w:szCs w:val="22"/>
        </w:rPr>
      </w:pPr>
      <w:r w:rsidRPr="00175585">
        <w:rPr>
          <w:rFonts w:eastAsia="Calibri"/>
          <w:szCs w:val="22"/>
        </w:rPr>
        <w:t xml:space="preserve">If pay is frozen then progress against an improvement plan will be monitored. If performance or behaviour does improve sufficiently then from the point at which this determined by the </w:t>
      </w:r>
      <w:proofErr w:type="gramStart"/>
      <w:r w:rsidRPr="00175585">
        <w:rPr>
          <w:rFonts w:eastAsia="Calibri"/>
          <w:szCs w:val="22"/>
        </w:rPr>
        <w:t>director</w:t>
      </w:r>
      <w:proofErr w:type="gramEnd"/>
      <w:r w:rsidRPr="00175585">
        <w:rPr>
          <w:rFonts w:eastAsia="Calibri"/>
          <w:szCs w:val="22"/>
        </w:rPr>
        <w:t xml:space="preserve"> then progression will be made to the next pay point.   If further progression within the grade is possible then the top pay point will be paid one year from the date that the pay had been “un-frozen”.   </w:t>
      </w:r>
    </w:p>
    <w:p w14:paraId="793D4AE1" w14:textId="77777777" w:rsidR="00570C15" w:rsidRDefault="00175585" w:rsidP="00D32888">
      <w:pPr>
        <w:numPr>
          <w:ilvl w:val="0"/>
          <w:numId w:val="28"/>
        </w:numPr>
        <w:spacing w:after="200" w:line="276" w:lineRule="auto"/>
        <w:rPr>
          <w:rFonts w:eastAsia="Calibri"/>
          <w:szCs w:val="22"/>
        </w:rPr>
      </w:pPr>
      <w:r w:rsidRPr="00175585">
        <w:rPr>
          <w:rFonts w:eastAsia="Calibri"/>
          <w:szCs w:val="22"/>
        </w:rPr>
        <w:t xml:space="preserve">The above measures may be applied outside a formal capability procedure.  If, however, the measures are applied to a </w:t>
      </w:r>
      <w:r w:rsidR="00EA654F">
        <w:rPr>
          <w:rFonts w:eastAsia="Calibri"/>
          <w:szCs w:val="22"/>
        </w:rPr>
        <w:t>Head of Service</w:t>
      </w:r>
      <w:r w:rsidRPr="00175585">
        <w:rPr>
          <w:rFonts w:eastAsia="Calibri"/>
          <w:szCs w:val="22"/>
        </w:rPr>
        <w:t xml:space="preserve"> and the measures are applied for a year or more, it is likely that the matter will be dealt with under a formal capability procedure.  </w:t>
      </w:r>
    </w:p>
    <w:p w14:paraId="3F6E9C1D" w14:textId="77777777" w:rsidR="00570C15" w:rsidRDefault="00570C15">
      <w:pPr>
        <w:rPr>
          <w:rFonts w:eastAsia="Calibri"/>
          <w:szCs w:val="22"/>
        </w:rPr>
      </w:pPr>
      <w:r>
        <w:rPr>
          <w:rFonts w:eastAsia="Calibri"/>
          <w:szCs w:val="22"/>
        </w:rPr>
        <w:br w:type="page"/>
      </w:r>
    </w:p>
    <w:p w14:paraId="1167E07A" w14:textId="77777777" w:rsidR="00175585" w:rsidRPr="00175585" w:rsidRDefault="00175585" w:rsidP="00570C15">
      <w:pPr>
        <w:spacing w:after="200" w:line="276" w:lineRule="auto"/>
        <w:ind w:left="720"/>
        <w:rPr>
          <w:rFonts w:eastAsia="Calibri"/>
          <w:szCs w:val="22"/>
        </w:rPr>
      </w:pPr>
    </w:p>
    <w:p w14:paraId="591B56ED" w14:textId="77777777" w:rsidR="00175585" w:rsidRDefault="00175585" w:rsidP="00D32888">
      <w:pPr>
        <w:numPr>
          <w:ilvl w:val="0"/>
          <w:numId w:val="28"/>
        </w:numPr>
        <w:spacing w:after="200" w:line="276" w:lineRule="auto"/>
        <w:rPr>
          <w:rFonts w:eastAsia="Calibri"/>
          <w:szCs w:val="22"/>
        </w:rPr>
      </w:pPr>
      <w:r w:rsidRPr="00175585">
        <w:rPr>
          <w:rFonts w:eastAsia="Calibri"/>
          <w:szCs w:val="22"/>
        </w:rPr>
        <w:t>The broad terms and process of the Capability Procedure defined in the Employee Handbook will be used to deal with any serious or persistent problems of capability and the use of this formal procedure may be applied either in conjunction with or separate to the measures relating to pay freezing or reduction.</w:t>
      </w:r>
    </w:p>
    <w:p w14:paraId="08E29B31" w14:textId="77777777" w:rsidR="00175585" w:rsidRPr="00175585" w:rsidRDefault="00175585" w:rsidP="00D32888">
      <w:pPr>
        <w:numPr>
          <w:ilvl w:val="0"/>
          <w:numId w:val="28"/>
        </w:numPr>
        <w:spacing w:after="200" w:line="276" w:lineRule="auto"/>
        <w:rPr>
          <w:rFonts w:eastAsia="Calibri"/>
          <w:szCs w:val="22"/>
        </w:rPr>
      </w:pPr>
      <w:r w:rsidRPr="00175585">
        <w:rPr>
          <w:rFonts w:eastAsia="Calibri"/>
          <w:szCs w:val="22"/>
        </w:rPr>
        <w:t xml:space="preserve">A final right of appeal exists to a director’s decision to freeze or reduce pay, or to the length of time for which this pay detriment is applied.  This appeal should be addressed </w:t>
      </w:r>
      <w:proofErr w:type="gramStart"/>
      <w:r w:rsidRPr="00175585">
        <w:rPr>
          <w:rFonts w:eastAsia="Calibri"/>
          <w:szCs w:val="22"/>
        </w:rPr>
        <w:t>to, and</w:t>
      </w:r>
      <w:proofErr w:type="gramEnd"/>
      <w:r w:rsidRPr="00175585">
        <w:rPr>
          <w:rFonts w:eastAsia="Calibri"/>
          <w:szCs w:val="22"/>
        </w:rPr>
        <w:t xml:space="preserve"> will be dealt with by the Chief Executive or an officer nominated by the Chief Executive.</w:t>
      </w:r>
    </w:p>
    <w:p w14:paraId="78685926" w14:textId="77777777" w:rsidR="00175585" w:rsidRPr="00175585" w:rsidRDefault="00175585" w:rsidP="00175585">
      <w:pPr>
        <w:spacing w:after="200" w:line="276" w:lineRule="auto"/>
        <w:rPr>
          <w:rFonts w:eastAsia="Calibri"/>
          <w:szCs w:val="22"/>
          <w:lang w:val="en-US"/>
        </w:rPr>
      </w:pPr>
      <w:r w:rsidRPr="00175585">
        <w:rPr>
          <w:rFonts w:eastAsia="Calibri"/>
          <w:szCs w:val="22"/>
          <w:lang w:val="en-US"/>
        </w:rPr>
        <w:t xml:space="preserve"> </w:t>
      </w:r>
    </w:p>
    <w:p w14:paraId="56310967" w14:textId="77777777" w:rsidR="00175585" w:rsidRPr="00175585" w:rsidRDefault="00175585" w:rsidP="00175585">
      <w:pPr>
        <w:spacing w:after="200" w:line="276" w:lineRule="auto"/>
        <w:rPr>
          <w:rFonts w:eastAsia="Calibri"/>
          <w:szCs w:val="22"/>
          <w:lang w:val="en-US"/>
        </w:rPr>
      </w:pPr>
      <w:r w:rsidRPr="00175585">
        <w:rPr>
          <w:rFonts w:eastAsia="Calibri"/>
          <w:szCs w:val="22"/>
          <w:lang w:val="en-US"/>
        </w:rPr>
        <w:br w:type="page"/>
      </w:r>
    </w:p>
    <w:p w14:paraId="3242A556" w14:textId="77777777" w:rsidR="00175585" w:rsidRPr="00175585" w:rsidRDefault="00175585" w:rsidP="00175585">
      <w:pPr>
        <w:spacing w:after="200" w:line="276" w:lineRule="auto"/>
        <w:jc w:val="right"/>
        <w:rPr>
          <w:rFonts w:eastAsia="Calibri"/>
          <w:szCs w:val="22"/>
          <w:lang w:val="en-US"/>
        </w:rPr>
      </w:pPr>
      <w:r w:rsidRPr="00175585">
        <w:rPr>
          <w:rFonts w:eastAsia="Calibri"/>
          <w:szCs w:val="22"/>
          <w:lang w:val="en-US"/>
        </w:rPr>
        <w:t>Document 4</w:t>
      </w:r>
    </w:p>
    <w:p w14:paraId="41CDA3D1" w14:textId="77777777" w:rsidR="00175585" w:rsidRPr="00175585" w:rsidRDefault="00175585" w:rsidP="00175585">
      <w:pPr>
        <w:spacing w:after="200" w:line="276" w:lineRule="auto"/>
        <w:jc w:val="center"/>
        <w:rPr>
          <w:rFonts w:eastAsia="Calibri"/>
          <w:b/>
          <w:szCs w:val="22"/>
          <w:lang w:val="en-US"/>
        </w:rPr>
      </w:pPr>
      <w:r w:rsidRPr="00175585">
        <w:rPr>
          <w:rFonts w:eastAsia="Calibri"/>
          <w:b/>
          <w:szCs w:val="22"/>
          <w:lang w:val="en-US"/>
        </w:rPr>
        <w:t>Market Supplements</w:t>
      </w:r>
    </w:p>
    <w:p w14:paraId="09125F06" w14:textId="77777777" w:rsidR="00175585" w:rsidRPr="00175585" w:rsidRDefault="00175585" w:rsidP="00175585">
      <w:pPr>
        <w:spacing w:after="200" w:line="276" w:lineRule="auto"/>
        <w:jc w:val="center"/>
        <w:rPr>
          <w:rFonts w:eastAsia="Calibri"/>
          <w:szCs w:val="22"/>
          <w:lang w:val="en-US"/>
        </w:rPr>
      </w:pPr>
    </w:p>
    <w:p w14:paraId="20D41158"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The pay and grading structure has been set to reflect the relative values of jobs within this organisation and at pay levels which reflect the general local employment pay levels.  This has been achieved through the national job evaluation scheme for NJC officers and a local job evaluation scheme for </w:t>
      </w:r>
      <w:r w:rsidR="00EA654F">
        <w:rPr>
          <w:rFonts w:cs="Arial"/>
          <w:szCs w:val="24"/>
        </w:rPr>
        <w:t>Heads of Service</w:t>
      </w:r>
      <w:r w:rsidRPr="00175585">
        <w:rPr>
          <w:rFonts w:cs="Arial"/>
          <w:szCs w:val="24"/>
        </w:rPr>
        <w:t>. However, there may be occasions where it is necessary to enhance the pay levels of specific groups of employees where it is proven that it is difficult to attract and retain employees because of external pay levels.  Where such situations are identified, additional market factor supplements may be agreed.</w:t>
      </w:r>
    </w:p>
    <w:p w14:paraId="02AA1E3C" w14:textId="77777777" w:rsidR="00175585" w:rsidRPr="00175585" w:rsidRDefault="00175585" w:rsidP="00175585">
      <w:pPr>
        <w:ind w:left="786"/>
        <w:contextualSpacing/>
        <w:rPr>
          <w:rFonts w:cs="Arial"/>
          <w:szCs w:val="24"/>
        </w:rPr>
      </w:pPr>
    </w:p>
    <w:p w14:paraId="53569F4A"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Payment of market factor supplements will be made </w:t>
      </w:r>
      <w:proofErr w:type="gramStart"/>
      <w:r w:rsidRPr="00175585">
        <w:rPr>
          <w:rFonts w:cs="Arial"/>
          <w:szCs w:val="24"/>
        </w:rPr>
        <w:t>taking into account</w:t>
      </w:r>
      <w:proofErr w:type="gramEnd"/>
      <w:r w:rsidRPr="00175585">
        <w:rPr>
          <w:rFonts w:cs="Arial"/>
          <w:szCs w:val="24"/>
        </w:rPr>
        <w:t xml:space="preserve"> the following factors:</w:t>
      </w:r>
    </w:p>
    <w:p w14:paraId="3D29BC44" w14:textId="77777777" w:rsidR="00175585" w:rsidRPr="00175585" w:rsidRDefault="00175585" w:rsidP="00175585">
      <w:pPr>
        <w:ind w:left="786"/>
        <w:contextualSpacing/>
        <w:rPr>
          <w:rFonts w:cs="Arial"/>
          <w:szCs w:val="24"/>
        </w:rPr>
      </w:pPr>
    </w:p>
    <w:p w14:paraId="05285A25" w14:textId="77777777" w:rsidR="00175585" w:rsidRPr="00175585" w:rsidRDefault="00175585" w:rsidP="00D32888">
      <w:pPr>
        <w:numPr>
          <w:ilvl w:val="1"/>
          <w:numId w:val="33"/>
        </w:numPr>
        <w:spacing w:after="200" w:line="276" w:lineRule="auto"/>
        <w:contextualSpacing/>
        <w:rPr>
          <w:rFonts w:cs="Arial"/>
          <w:szCs w:val="24"/>
        </w:rPr>
      </w:pPr>
      <w:r w:rsidRPr="00175585">
        <w:rPr>
          <w:rFonts w:cs="Arial"/>
          <w:szCs w:val="24"/>
        </w:rPr>
        <w:t xml:space="preserve">Evidence of high levels of turnover in the </w:t>
      </w:r>
      <w:proofErr w:type="gramStart"/>
      <w:r w:rsidRPr="00175585">
        <w:rPr>
          <w:rFonts w:cs="Arial"/>
          <w:szCs w:val="24"/>
        </w:rPr>
        <w:t>particular staff</w:t>
      </w:r>
      <w:proofErr w:type="gramEnd"/>
      <w:r w:rsidRPr="00175585">
        <w:rPr>
          <w:rFonts w:cs="Arial"/>
          <w:szCs w:val="24"/>
        </w:rPr>
        <w:t xml:space="preserve"> group</w:t>
      </w:r>
    </w:p>
    <w:p w14:paraId="7816DDF5" w14:textId="77777777" w:rsidR="00175585" w:rsidRPr="00175585" w:rsidRDefault="00175585" w:rsidP="00D32888">
      <w:pPr>
        <w:numPr>
          <w:ilvl w:val="1"/>
          <w:numId w:val="33"/>
        </w:numPr>
        <w:spacing w:after="200" w:line="276" w:lineRule="auto"/>
        <w:contextualSpacing/>
        <w:rPr>
          <w:rFonts w:cs="Arial"/>
          <w:szCs w:val="24"/>
        </w:rPr>
      </w:pPr>
      <w:r w:rsidRPr="00175585">
        <w:rPr>
          <w:rFonts w:cs="Arial"/>
          <w:szCs w:val="24"/>
        </w:rPr>
        <w:t xml:space="preserve">Evidence of difficulties in recruiting to posts </w:t>
      </w:r>
      <w:proofErr w:type="spellStart"/>
      <w:r w:rsidRPr="00175585">
        <w:rPr>
          <w:rFonts w:cs="Arial"/>
          <w:szCs w:val="24"/>
        </w:rPr>
        <w:t>ie</w:t>
      </w:r>
      <w:proofErr w:type="spellEnd"/>
      <w:r w:rsidRPr="00175585">
        <w:rPr>
          <w:rFonts w:cs="Arial"/>
          <w:szCs w:val="24"/>
        </w:rPr>
        <w:t xml:space="preserve"> by low response rates to advertisements or inability to attract suitable </w:t>
      </w:r>
      <w:proofErr w:type="gramStart"/>
      <w:r w:rsidRPr="00175585">
        <w:rPr>
          <w:rFonts w:cs="Arial"/>
          <w:szCs w:val="24"/>
        </w:rPr>
        <w:t>candidates</w:t>
      </w:r>
      <w:proofErr w:type="gramEnd"/>
    </w:p>
    <w:p w14:paraId="204DF9C4" w14:textId="77777777" w:rsidR="00175585" w:rsidRPr="00175585" w:rsidRDefault="00175585" w:rsidP="00D32888">
      <w:pPr>
        <w:numPr>
          <w:ilvl w:val="1"/>
          <w:numId w:val="33"/>
        </w:numPr>
        <w:spacing w:after="200" w:line="276" w:lineRule="auto"/>
        <w:contextualSpacing/>
        <w:rPr>
          <w:rFonts w:cs="Arial"/>
          <w:szCs w:val="24"/>
        </w:rPr>
      </w:pPr>
      <w:r w:rsidRPr="00175585">
        <w:rPr>
          <w:rFonts w:cs="Arial"/>
          <w:szCs w:val="24"/>
        </w:rPr>
        <w:t>Comparison with like jobs in other local authorities and more widely in the sector</w:t>
      </w:r>
    </w:p>
    <w:p w14:paraId="6A738E1F" w14:textId="77777777" w:rsidR="00175585" w:rsidRPr="00175585" w:rsidRDefault="00175585" w:rsidP="00175585">
      <w:pPr>
        <w:ind w:left="1506"/>
        <w:contextualSpacing/>
        <w:rPr>
          <w:rFonts w:cs="Arial"/>
          <w:szCs w:val="24"/>
        </w:rPr>
      </w:pPr>
    </w:p>
    <w:p w14:paraId="6E2024C2"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All current employees within the group affected will receive the payment.</w:t>
      </w:r>
    </w:p>
    <w:p w14:paraId="622F1D16" w14:textId="77777777" w:rsidR="00175585" w:rsidRPr="00175585" w:rsidRDefault="00175585" w:rsidP="00175585">
      <w:pPr>
        <w:ind w:left="786"/>
        <w:contextualSpacing/>
        <w:rPr>
          <w:rFonts w:cs="Arial"/>
          <w:szCs w:val="24"/>
        </w:rPr>
      </w:pPr>
    </w:p>
    <w:p w14:paraId="447BC383"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Clear criteria for receiving the payment will be determined such as the possession of specific qualifications and length of experience as examples.</w:t>
      </w:r>
    </w:p>
    <w:p w14:paraId="5B084F5B" w14:textId="77777777" w:rsidR="00175585" w:rsidRPr="00175585" w:rsidRDefault="00175585" w:rsidP="00175585">
      <w:pPr>
        <w:ind w:left="786"/>
        <w:contextualSpacing/>
        <w:rPr>
          <w:rFonts w:cs="Arial"/>
          <w:szCs w:val="24"/>
        </w:rPr>
      </w:pPr>
    </w:p>
    <w:p w14:paraId="68D93CEF"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The supplement will be </w:t>
      </w:r>
      <w:proofErr w:type="gramStart"/>
      <w:r w:rsidRPr="00175585">
        <w:rPr>
          <w:rFonts w:cs="Arial"/>
          <w:szCs w:val="24"/>
        </w:rPr>
        <w:t>a number of</w:t>
      </w:r>
      <w:proofErr w:type="gramEnd"/>
      <w:r w:rsidRPr="00175585">
        <w:rPr>
          <w:rFonts w:cs="Arial"/>
          <w:szCs w:val="24"/>
        </w:rPr>
        <w:t xml:space="preserve"> increments applied to the normal spinal column points associated with the substantive grade. The number of increments awarded will be informed by the evidence supporting the payment of the market factor supplement.   </w:t>
      </w:r>
    </w:p>
    <w:p w14:paraId="710385B9" w14:textId="77777777" w:rsidR="00175585" w:rsidRPr="00175585" w:rsidRDefault="00175585" w:rsidP="00175585">
      <w:pPr>
        <w:ind w:left="786"/>
        <w:contextualSpacing/>
        <w:rPr>
          <w:rFonts w:cs="Arial"/>
          <w:szCs w:val="24"/>
        </w:rPr>
      </w:pPr>
    </w:p>
    <w:p w14:paraId="2F2DEF70"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Payment will be made for a specific </w:t>
      </w:r>
      <w:proofErr w:type="gramStart"/>
      <w:r w:rsidRPr="00175585">
        <w:rPr>
          <w:rFonts w:cs="Arial"/>
          <w:szCs w:val="24"/>
        </w:rPr>
        <w:t>time period</w:t>
      </w:r>
      <w:proofErr w:type="gramEnd"/>
      <w:r w:rsidR="00570C15">
        <w:rPr>
          <w:rFonts w:cs="Arial"/>
          <w:szCs w:val="24"/>
        </w:rPr>
        <w:t xml:space="preserve"> (normally up to 3 years as a maximum initially)</w:t>
      </w:r>
      <w:r w:rsidRPr="00175585">
        <w:rPr>
          <w:rFonts w:cs="Arial"/>
          <w:szCs w:val="24"/>
        </w:rPr>
        <w:t xml:space="preserve">. The application of a supplement is not </w:t>
      </w:r>
      <w:proofErr w:type="gramStart"/>
      <w:r w:rsidRPr="00175585">
        <w:rPr>
          <w:rFonts w:cs="Arial"/>
          <w:szCs w:val="24"/>
        </w:rPr>
        <w:t>open-ended</w:t>
      </w:r>
      <w:proofErr w:type="gramEnd"/>
      <w:r w:rsidRPr="00175585">
        <w:rPr>
          <w:rFonts w:cs="Arial"/>
          <w:szCs w:val="24"/>
        </w:rPr>
        <w:t xml:space="preserve"> and the timing of a formal review will be identified when the arrangement is proposed.  </w:t>
      </w:r>
    </w:p>
    <w:p w14:paraId="10475E74" w14:textId="77777777" w:rsidR="00175585" w:rsidRPr="00175585" w:rsidRDefault="00175585" w:rsidP="00175585">
      <w:pPr>
        <w:ind w:left="786"/>
        <w:contextualSpacing/>
        <w:rPr>
          <w:rFonts w:cs="Arial"/>
          <w:szCs w:val="24"/>
        </w:rPr>
      </w:pPr>
    </w:p>
    <w:p w14:paraId="1CFF358D"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At the point of review, the supplement may be extended or removed. Where it is determined that a supplement is to be withdrawn, employees in receipt of these will be given 12 months’ notice of withdrawal.  At the end of that </w:t>
      </w:r>
      <w:proofErr w:type="gramStart"/>
      <w:r w:rsidRPr="00175585">
        <w:rPr>
          <w:rFonts w:cs="Arial"/>
          <w:szCs w:val="24"/>
        </w:rPr>
        <w:t>time</w:t>
      </w:r>
      <w:proofErr w:type="gramEnd"/>
      <w:r w:rsidRPr="00175585">
        <w:rPr>
          <w:rFonts w:cs="Arial"/>
          <w:szCs w:val="24"/>
        </w:rPr>
        <w:t xml:space="preserve"> they will revert to the substantive salary for their post.</w:t>
      </w:r>
    </w:p>
    <w:p w14:paraId="05B6188D" w14:textId="77777777" w:rsidR="00175585" w:rsidRPr="00175585" w:rsidRDefault="00175585" w:rsidP="00175585">
      <w:pPr>
        <w:ind w:left="786"/>
        <w:contextualSpacing/>
        <w:rPr>
          <w:rFonts w:cs="Arial"/>
          <w:szCs w:val="24"/>
        </w:rPr>
      </w:pPr>
    </w:p>
    <w:p w14:paraId="35D880C9" w14:textId="77777777" w:rsidR="00175585" w:rsidRPr="00175585" w:rsidRDefault="00175585" w:rsidP="00D32888">
      <w:pPr>
        <w:numPr>
          <w:ilvl w:val="0"/>
          <w:numId w:val="33"/>
        </w:numPr>
        <w:spacing w:after="200" w:line="276" w:lineRule="auto"/>
        <w:contextualSpacing/>
        <w:rPr>
          <w:rFonts w:cs="Arial"/>
          <w:szCs w:val="24"/>
        </w:rPr>
      </w:pPr>
      <w:r w:rsidRPr="00175585">
        <w:rPr>
          <w:rFonts w:cs="Arial"/>
          <w:szCs w:val="24"/>
        </w:rPr>
        <w:t xml:space="preserve">Senior Leadership Team will determine whether a supplement should be applied to specific posts, the number of additional pay points to be awarded and over what length of </w:t>
      </w:r>
      <w:proofErr w:type="gramStart"/>
      <w:r w:rsidRPr="00175585">
        <w:rPr>
          <w:rFonts w:cs="Arial"/>
          <w:szCs w:val="24"/>
        </w:rPr>
        <w:t>time, and</w:t>
      </w:r>
      <w:proofErr w:type="gramEnd"/>
      <w:r w:rsidRPr="00175585">
        <w:rPr>
          <w:rFonts w:cs="Arial"/>
          <w:szCs w:val="24"/>
        </w:rPr>
        <w:t xml:space="preserve"> will determine the action to be taken as the result of any review. </w:t>
      </w:r>
    </w:p>
    <w:p w14:paraId="4DD17543" w14:textId="77777777" w:rsidR="00FC0F37" w:rsidRDefault="00FC0F37" w:rsidP="00175585">
      <w:pPr>
        <w:spacing w:after="200" w:line="276" w:lineRule="auto"/>
        <w:rPr>
          <w:rFonts w:eastAsia="Calibri"/>
          <w:sz w:val="20"/>
          <w:lang w:val="en-US"/>
        </w:rPr>
      </w:pPr>
    </w:p>
    <w:p w14:paraId="778C67CC" w14:textId="77777777" w:rsidR="00175585" w:rsidRPr="00FC0F37" w:rsidRDefault="00FC0F37" w:rsidP="00175585">
      <w:pPr>
        <w:spacing w:after="200" w:line="276" w:lineRule="auto"/>
        <w:rPr>
          <w:rFonts w:eastAsia="Calibri"/>
          <w:sz w:val="20"/>
          <w:lang w:val="en-US"/>
        </w:rPr>
      </w:pPr>
      <w:r>
        <w:rPr>
          <w:rFonts w:eastAsia="Calibri"/>
          <w:sz w:val="20"/>
          <w:lang w:val="en-US"/>
        </w:rPr>
        <w:t>ACSC 2017</w:t>
      </w:r>
    </w:p>
    <w:p w14:paraId="607702DB" w14:textId="77777777" w:rsidR="00A12C89" w:rsidRDefault="00175585" w:rsidP="00A12C89">
      <w:pPr>
        <w:jc w:val="right"/>
      </w:pPr>
      <w:r>
        <w:br w:type="page"/>
      </w:r>
      <w:r w:rsidR="00A12C89">
        <w:t xml:space="preserve">Appendix </w:t>
      </w:r>
      <w:proofErr w:type="spellStart"/>
      <w:r w:rsidR="00A12C89">
        <w:t>iB</w:t>
      </w:r>
      <w:proofErr w:type="spellEnd"/>
      <w:r w:rsidR="00A12C89">
        <w:t xml:space="preserve"> </w:t>
      </w:r>
    </w:p>
    <w:p w14:paraId="50B56E3D" w14:textId="77777777" w:rsidR="00DB1F3A" w:rsidRPr="00DB1F3A" w:rsidRDefault="00DB1F3A" w:rsidP="00DB1F3A">
      <w:pPr>
        <w:spacing w:after="75"/>
        <w:outlineLvl w:val="1"/>
        <w:rPr>
          <w:rFonts w:cs="Arial"/>
          <w:b/>
          <w:bCs/>
          <w:color w:val="232021"/>
          <w:sz w:val="37"/>
          <w:szCs w:val="37"/>
          <w:lang w:eastAsia="en-GB"/>
        </w:rPr>
      </w:pPr>
      <w:r w:rsidRPr="00DB1F3A">
        <w:rPr>
          <w:rFonts w:cs="Arial"/>
          <w:b/>
          <w:bCs/>
          <w:color w:val="232021"/>
          <w:sz w:val="37"/>
          <w:szCs w:val="37"/>
          <w:lang w:eastAsia="en-GB"/>
        </w:rPr>
        <w:t>Gender Pay Gap Data</w:t>
      </w:r>
    </w:p>
    <w:p w14:paraId="5B52FC77" w14:textId="3124C491" w:rsidR="00DB1F3A" w:rsidRPr="00DB1F3A" w:rsidRDefault="00DB1F3A" w:rsidP="00DB1F3A">
      <w:pPr>
        <w:spacing w:afterAutospacing="1"/>
        <w:rPr>
          <w:rFonts w:cs="Arial"/>
          <w:color w:val="232021"/>
          <w:sz w:val="25"/>
          <w:szCs w:val="25"/>
          <w:lang w:eastAsia="en-GB"/>
        </w:rPr>
      </w:pPr>
      <w:r w:rsidRPr="00DB1F3A">
        <w:rPr>
          <w:rFonts w:cs="Arial"/>
          <w:b/>
          <w:bCs/>
          <w:color w:val="232021"/>
          <w:sz w:val="25"/>
          <w:szCs w:val="25"/>
          <w:lang w:eastAsia="en-GB"/>
        </w:rPr>
        <w:t xml:space="preserve">Gender Pay Gap as </w:t>
      </w:r>
      <w:proofErr w:type="gramStart"/>
      <w:r w:rsidRPr="00DB1F3A">
        <w:rPr>
          <w:rFonts w:cs="Arial"/>
          <w:b/>
          <w:bCs/>
          <w:color w:val="232021"/>
          <w:sz w:val="25"/>
          <w:szCs w:val="25"/>
          <w:lang w:eastAsia="en-GB"/>
        </w:rPr>
        <w:t>at</w:t>
      </w:r>
      <w:proofErr w:type="gramEnd"/>
      <w:r w:rsidRPr="00DB1F3A">
        <w:rPr>
          <w:rFonts w:cs="Arial"/>
          <w:b/>
          <w:bCs/>
          <w:color w:val="232021"/>
          <w:sz w:val="25"/>
          <w:szCs w:val="25"/>
          <w:lang w:eastAsia="en-GB"/>
        </w:rPr>
        <w:t xml:space="preserve"> 31 March 202</w:t>
      </w:r>
      <w:r w:rsidR="00EF3710">
        <w:rPr>
          <w:rFonts w:cs="Arial"/>
          <w:b/>
          <w:bCs/>
          <w:color w:val="232021"/>
          <w:sz w:val="25"/>
          <w:szCs w:val="25"/>
          <w:lang w:eastAsia="en-GB"/>
        </w:rPr>
        <w:t>3</w:t>
      </w:r>
    </w:p>
    <w:p w14:paraId="1A2DA87C" w14:textId="77777777" w:rsidR="00EF3710" w:rsidRDefault="00EF3710" w:rsidP="00DB1F3A">
      <w:pPr>
        <w:spacing w:before="120"/>
        <w:rPr>
          <w:snapToGrid w:val="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60"/>
        <w:gridCol w:w="1101"/>
        <w:gridCol w:w="1097"/>
        <w:gridCol w:w="1097"/>
        <w:gridCol w:w="1097"/>
        <w:gridCol w:w="1097"/>
        <w:gridCol w:w="1030"/>
      </w:tblGrid>
      <w:tr w:rsidR="00EF3710" w:rsidRPr="00EF3710" w14:paraId="2E68634B" w14:textId="77777777" w:rsidTr="00AD690B">
        <w:tc>
          <w:tcPr>
            <w:tcW w:w="2376" w:type="dxa"/>
            <w:shd w:val="clear" w:color="auto" w:fill="auto"/>
          </w:tcPr>
          <w:p w14:paraId="2F70CD02" w14:textId="77777777" w:rsidR="00EF3710" w:rsidRPr="00EF3710" w:rsidRDefault="00EF3710" w:rsidP="00EF3710">
            <w:pPr>
              <w:spacing w:before="120"/>
              <w:rPr>
                <w:snapToGrid w:val="0"/>
              </w:rPr>
            </w:pPr>
          </w:p>
        </w:tc>
        <w:tc>
          <w:tcPr>
            <w:tcW w:w="960" w:type="dxa"/>
          </w:tcPr>
          <w:p w14:paraId="15758C16" w14:textId="77777777" w:rsidR="00EF3710" w:rsidRPr="00EF3710" w:rsidRDefault="00EF3710" w:rsidP="00EF3710">
            <w:pPr>
              <w:spacing w:before="120"/>
              <w:rPr>
                <w:b/>
                <w:snapToGrid w:val="0"/>
              </w:rPr>
            </w:pPr>
            <w:r w:rsidRPr="00EF3710">
              <w:rPr>
                <w:b/>
                <w:snapToGrid w:val="0"/>
              </w:rPr>
              <w:t>2023</w:t>
            </w:r>
          </w:p>
        </w:tc>
        <w:tc>
          <w:tcPr>
            <w:tcW w:w="1101" w:type="dxa"/>
          </w:tcPr>
          <w:p w14:paraId="598BF0F9" w14:textId="77777777" w:rsidR="00EF3710" w:rsidRPr="00EF3710" w:rsidRDefault="00EF3710" w:rsidP="00EF3710">
            <w:pPr>
              <w:spacing w:before="120"/>
              <w:rPr>
                <w:snapToGrid w:val="0"/>
              </w:rPr>
            </w:pPr>
            <w:r w:rsidRPr="00EF3710">
              <w:rPr>
                <w:snapToGrid w:val="0"/>
              </w:rPr>
              <w:t>2022</w:t>
            </w:r>
          </w:p>
        </w:tc>
        <w:tc>
          <w:tcPr>
            <w:tcW w:w="1097" w:type="dxa"/>
            <w:shd w:val="clear" w:color="auto" w:fill="auto"/>
          </w:tcPr>
          <w:p w14:paraId="68A85726" w14:textId="77777777" w:rsidR="00EF3710" w:rsidRPr="00EF3710" w:rsidRDefault="00EF3710" w:rsidP="00EF3710">
            <w:pPr>
              <w:spacing w:before="120"/>
              <w:rPr>
                <w:snapToGrid w:val="0"/>
              </w:rPr>
            </w:pPr>
            <w:r w:rsidRPr="00EF3710">
              <w:rPr>
                <w:snapToGrid w:val="0"/>
              </w:rPr>
              <w:t>2021</w:t>
            </w:r>
          </w:p>
        </w:tc>
        <w:tc>
          <w:tcPr>
            <w:tcW w:w="1097" w:type="dxa"/>
            <w:shd w:val="clear" w:color="auto" w:fill="auto"/>
          </w:tcPr>
          <w:p w14:paraId="1D242CB7" w14:textId="77777777" w:rsidR="00EF3710" w:rsidRPr="00EF3710" w:rsidRDefault="00EF3710" w:rsidP="00EF3710">
            <w:pPr>
              <w:spacing w:before="120"/>
              <w:rPr>
                <w:snapToGrid w:val="0"/>
              </w:rPr>
            </w:pPr>
            <w:r w:rsidRPr="00EF3710">
              <w:rPr>
                <w:snapToGrid w:val="0"/>
              </w:rPr>
              <w:t>2020</w:t>
            </w:r>
          </w:p>
        </w:tc>
        <w:tc>
          <w:tcPr>
            <w:tcW w:w="1097" w:type="dxa"/>
            <w:shd w:val="clear" w:color="auto" w:fill="auto"/>
          </w:tcPr>
          <w:p w14:paraId="0FD42F24" w14:textId="77777777" w:rsidR="00EF3710" w:rsidRPr="00EF3710" w:rsidRDefault="00EF3710" w:rsidP="00EF3710">
            <w:pPr>
              <w:spacing w:before="120"/>
              <w:rPr>
                <w:snapToGrid w:val="0"/>
              </w:rPr>
            </w:pPr>
            <w:r w:rsidRPr="00EF3710">
              <w:rPr>
                <w:snapToGrid w:val="0"/>
              </w:rPr>
              <w:t>2019</w:t>
            </w:r>
          </w:p>
        </w:tc>
        <w:tc>
          <w:tcPr>
            <w:tcW w:w="1097" w:type="dxa"/>
            <w:shd w:val="clear" w:color="auto" w:fill="auto"/>
          </w:tcPr>
          <w:p w14:paraId="5A213691" w14:textId="77777777" w:rsidR="00EF3710" w:rsidRPr="00EF3710" w:rsidRDefault="00EF3710" w:rsidP="00EF3710">
            <w:pPr>
              <w:spacing w:before="120"/>
              <w:rPr>
                <w:snapToGrid w:val="0"/>
              </w:rPr>
            </w:pPr>
            <w:r w:rsidRPr="00EF3710">
              <w:rPr>
                <w:snapToGrid w:val="0"/>
              </w:rPr>
              <w:t>2018</w:t>
            </w:r>
          </w:p>
        </w:tc>
        <w:tc>
          <w:tcPr>
            <w:tcW w:w="1030" w:type="dxa"/>
            <w:shd w:val="clear" w:color="auto" w:fill="auto"/>
          </w:tcPr>
          <w:p w14:paraId="4737453F" w14:textId="77777777" w:rsidR="00EF3710" w:rsidRPr="00EF3710" w:rsidRDefault="00EF3710" w:rsidP="00EF3710">
            <w:pPr>
              <w:spacing w:before="120"/>
              <w:rPr>
                <w:snapToGrid w:val="0"/>
              </w:rPr>
            </w:pPr>
            <w:r w:rsidRPr="00EF3710">
              <w:rPr>
                <w:snapToGrid w:val="0"/>
              </w:rPr>
              <w:t>2017</w:t>
            </w:r>
          </w:p>
        </w:tc>
      </w:tr>
      <w:tr w:rsidR="00EF3710" w:rsidRPr="00EF3710" w14:paraId="0FEB9AB2" w14:textId="77777777" w:rsidTr="00AD690B">
        <w:tc>
          <w:tcPr>
            <w:tcW w:w="2376" w:type="dxa"/>
            <w:shd w:val="clear" w:color="auto" w:fill="auto"/>
          </w:tcPr>
          <w:p w14:paraId="75B6132D" w14:textId="77777777" w:rsidR="00EF3710" w:rsidRPr="00EF3710" w:rsidRDefault="00EF3710" w:rsidP="00EF3710">
            <w:pPr>
              <w:spacing w:before="120"/>
              <w:rPr>
                <w:snapToGrid w:val="0"/>
              </w:rPr>
            </w:pPr>
            <w:r w:rsidRPr="00EF3710">
              <w:rPr>
                <w:snapToGrid w:val="0"/>
              </w:rPr>
              <w:t>Mean gender pay gap;</w:t>
            </w:r>
          </w:p>
        </w:tc>
        <w:tc>
          <w:tcPr>
            <w:tcW w:w="960" w:type="dxa"/>
          </w:tcPr>
          <w:p w14:paraId="650AAADE" w14:textId="77777777" w:rsidR="00EF3710" w:rsidRPr="00EF3710" w:rsidRDefault="00EF3710" w:rsidP="00EF3710">
            <w:pPr>
              <w:spacing w:before="120"/>
              <w:rPr>
                <w:b/>
                <w:snapToGrid w:val="0"/>
              </w:rPr>
            </w:pPr>
            <w:r w:rsidRPr="00EF3710">
              <w:rPr>
                <w:b/>
                <w:snapToGrid w:val="0"/>
              </w:rPr>
              <w:t>2.9%</w:t>
            </w:r>
          </w:p>
        </w:tc>
        <w:tc>
          <w:tcPr>
            <w:tcW w:w="1101" w:type="dxa"/>
          </w:tcPr>
          <w:p w14:paraId="6549FADC" w14:textId="77777777" w:rsidR="00EF3710" w:rsidRPr="00EF3710" w:rsidRDefault="00EF3710" w:rsidP="00EF3710">
            <w:pPr>
              <w:spacing w:before="120"/>
              <w:rPr>
                <w:snapToGrid w:val="0"/>
              </w:rPr>
            </w:pPr>
            <w:r w:rsidRPr="00EF3710">
              <w:rPr>
                <w:snapToGrid w:val="0"/>
              </w:rPr>
              <w:t>3.79%</w:t>
            </w:r>
          </w:p>
        </w:tc>
        <w:tc>
          <w:tcPr>
            <w:tcW w:w="1097" w:type="dxa"/>
            <w:shd w:val="clear" w:color="auto" w:fill="auto"/>
          </w:tcPr>
          <w:p w14:paraId="6229BF8F" w14:textId="77777777" w:rsidR="00EF3710" w:rsidRPr="00EF3710" w:rsidRDefault="00EF3710" w:rsidP="00EF3710">
            <w:pPr>
              <w:spacing w:before="120"/>
              <w:rPr>
                <w:snapToGrid w:val="0"/>
              </w:rPr>
            </w:pPr>
            <w:r w:rsidRPr="00EF3710">
              <w:rPr>
                <w:snapToGrid w:val="0"/>
              </w:rPr>
              <w:t>4.67%</w:t>
            </w:r>
          </w:p>
        </w:tc>
        <w:tc>
          <w:tcPr>
            <w:tcW w:w="1097" w:type="dxa"/>
            <w:shd w:val="clear" w:color="auto" w:fill="auto"/>
          </w:tcPr>
          <w:p w14:paraId="76A6B187" w14:textId="77777777" w:rsidR="00EF3710" w:rsidRPr="00EF3710" w:rsidRDefault="00EF3710" w:rsidP="00EF3710">
            <w:pPr>
              <w:spacing w:before="120"/>
              <w:rPr>
                <w:snapToGrid w:val="0"/>
              </w:rPr>
            </w:pPr>
            <w:r w:rsidRPr="00EF3710">
              <w:rPr>
                <w:snapToGrid w:val="0"/>
              </w:rPr>
              <w:t>2.53%</w:t>
            </w:r>
          </w:p>
        </w:tc>
        <w:tc>
          <w:tcPr>
            <w:tcW w:w="1097" w:type="dxa"/>
            <w:shd w:val="clear" w:color="auto" w:fill="auto"/>
          </w:tcPr>
          <w:p w14:paraId="73F58D6A" w14:textId="77777777" w:rsidR="00EF3710" w:rsidRPr="00EF3710" w:rsidRDefault="00EF3710" w:rsidP="00EF3710">
            <w:pPr>
              <w:spacing w:before="120"/>
              <w:rPr>
                <w:snapToGrid w:val="0"/>
              </w:rPr>
            </w:pPr>
            <w:r w:rsidRPr="00EF3710">
              <w:rPr>
                <w:snapToGrid w:val="0"/>
              </w:rPr>
              <w:t>1.31%</w:t>
            </w:r>
          </w:p>
        </w:tc>
        <w:tc>
          <w:tcPr>
            <w:tcW w:w="1097" w:type="dxa"/>
            <w:shd w:val="clear" w:color="auto" w:fill="auto"/>
          </w:tcPr>
          <w:p w14:paraId="2E3F01A3" w14:textId="77777777" w:rsidR="00EF3710" w:rsidRPr="00EF3710" w:rsidRDefault="00EF3710" w:rsidP="00EF3710">
            <w:pPr>
              <w:spacing w:before="120"/>
              <w:rPr>
                <w:snapToGrid w:val="0"/>
              </w:rPr>
            </w:pPr>
            <w:r w:rsidRPr="00EF3710">
              <w:rPr>
                <w:snapToGrid w:val="0"/>
              </w:rPr>
              <w:t>5.13%</w:t>
            </w:r>
          </w:p>
        </w:tc>
        <w:tc>
          <w:tcPr>
            <w:tcW w:w="1030" w:type="dxa"/>
            <w:shd w:val="clear" w:color="auto" w:fill="auto"/>
          </w:tcPr>
          <w:p w14:paraId="422E93DF" w14:textId="77777777" w:rsidR="00EF3710" w:rsidRPr="00EF3710" w:rsidRDefault="00EF3710" w:rsidP="00EF3710">
            <w:pPr>
              <w:spacing w:before="120"/>
              <w:rPr>
                <w:snapToGrid w:val="0"/>
              </w:rPr>
            </w:pPr>
            <w:r w:rsidRPr="00EF3710">
              <w:rPr>
                <w:snapToGrid w:val="0"/>
              </w:rPr>
              <w:t>2.99%</w:t>
            </w:r>
          </w:p>
        </w:tc>
      </w:tr>
      <w:tr w:rsidR="00EF3710" w:rsidRPr="00EF3710" w14:paraId="1E7AC541" w14:textId="77777777" w:rsidTr="00AD690B">
        <w:tc>
          <w:tcPr>
            <w:tcW w:w="2376" w:type="dxa"/>
            <w:shd w:val="clear" w:color="auto" w:fill="auto"/>
          </w:tcPr>
          <w:p w14:paraId="5C9A597B" w14:textId="77777777" w:rsidR="00EF3710" w:rsidRPr="00EF3710" w:rsidRDefault="00EF3710" w:rsidP="00EF3710">
            <w:pPr>
              <w:spacing w:before="120"/>
              <w:rPr>
                <w:snapToGrid w:val="0"/>
              </w:rPr>
            </w:pPr>
            <w:r w:rsidRPr="00EF3710">
              <w:rPr>
                <w:snapToGrid w:val="0"/>
              </w:rPr>
              <w:t>Median gender pay gap;</w:t>
            </w:r>
          </w:p>
        </w:tc>
        <w:tc>
          <w:tcPr>
            <w:tcW w:w="960" w:type="dxa"/>
          </w:tcPr>
          <w:p w14:paraId="2867B414" w14:textId="77777777" w:rsidR="00EF3710" w:rsidRPr="00EF3710" w:rsidRDefault="00EF3710" w:rsidP="00EF3710">
            <w:pPr>
              <w:spacing w:before="120"/>
              <w:rPr>
                <w:b/>
                <w:snapToGrid w:val="0"/>
              </w:rPr>
            </w:pPr>
            <w:r w:rsidRPr="00EF3710">
              <w:rPr>
                <w:b/>
                <w:snapToGrid w:val="0"/>
              </w:rPr>
              <w:t>4.8%</w:t>
            </w:r>
          </w:p>
        </w:tc>
        <w:tc>
          <w:tcPr>
            <w:tcW w:w="1101" w:type="dxa"/>
          </w:tcPr>
          <w:p w14:paraId="2D74286D" w14:textId="77777777" w:rsidR="00EF3710" w:rsidRPr="00EF3710" w:rsidRDefault="00EF3710" w:rsidP="00EF3710">
            <w:pPr>
              <w:spacing w:before="120"/>
              <w:rPr>
                <w:snapToGrid w:val="0"/>
              </w:rPr>
            </w:pPr>
            <w:r w:rsidRPr="00EF3710">
              <w:rPr>
                <w:snapToGrid w:val="0"/>
              </w:rPr>
              <w:t>-1.51%*</w:t>
            </w:r>
          </w:p>
        </w:tc>
        <w:tc>
          <w:tcPr>
            <w:tcW w:w="1097" w:type="dxa"/>
            <w:shd w:val="clear" w:color="auto" w:fill="auto"/>
          </w:tcPr>
          <w:p w14:paraId="5C3FAA2C" w14:textId="77777777" w:rsidR="00EF3710" w:rsidRPr="00EF3710" w:rsidRDefault="00EF3710" w:rsidP="00EF3710">
            <w:pPr>
              <w:spacing w:before="120"/>
              <w:rPr>
                <w:snapToGrid w:val="0"/>
              </w:rPr>
            </w:pPr>
            <w:r w:rsidRPr="00EF3710">
              <w:rPr>
                <w:snapToGrid w:val="0"/>
              </w:rPr>
              <w:t>0.00%</w:t>
            </w:r>
          </w:p>
        </w:tc>
        <w:tc>
          <w:tcPr>
            <w:tcW w:w="1097" w:type="dxa"/>
            <w:shd w:val="clear" w:color="auto" w:fill="auto"/>
          </w:tcPr>
          <w:p w14:paraId="11704C41" w14:textId="77777777" w:rsidR="00EF3710" w:rsidRPr="00EF3710" w:rsidRDefault="00EF3710" w:rsidP="00EF3710">
            <w:pPr>
              <w:spacing w:before="120"/>
              <w:rPr>
                <w:snapToGrid w:val="0"/>
              </w:rPr>
            </w:pPr>
            <w:r w:rsidRPr="00EF3710">
              <w:rPr>
                <w:snapToGrid w:val="0"/>
              </w:rPr>
              <w:t>0.00%</w:t>
            </w:r>
          </w:p>
        </w:tc>
        <w:tc>
          <w:tcPr>
            <w:tcW w:w="1097" w:type="dxa"/>
            <w:shd w:val="clear" w:color="auto" w:fill="auto"/>
          </w:tcPr>
          <w:p w14:paraId="1C2A0D2B" w14:textId="77777777" w:rsidR="00EF3710" w:rsidRPr="00EF3710" w:rsidRDefault="00EF3710" w:rsidP="00EF3710">
            <w:pPr>
              <w:spacing w:before="120"/>
              <w:rPr>
                <w:snapToGrid w:val="0"/>
              </w:rPr>
            </w:pPr>
            <w:r w:rsidRPr="00EF3710">
              <w:rPr>
                <w:snapToGrid w:val="0"/>
              </w:rPr>
              <w:t>0.00%</w:t>
            </w:r>
          </w:p>
        </w:tc>
        <w:tc>
          <w:tcPr>
            <w:tcW w:w="1097" w:type="dxa"/>
            <w:shd w:val="clear" w:color="auto" w:fill="auto"/>
          </w:tcPr>
          <w:p w14:paraId="1447DCE7" w14:textId="77777777" w:rsidR="00EF3710" w:rsidRPr="00EF3710" w:rsidRDefault="00EF3710" w:rsidP="00EF3710">
            <w:pPr>
              <w:spacing w:before="120"/>
              <w:rPr>
                <w:snapToGrid w:val="0"/>
              </w:rPr>
            </w:pPr>
            <w:r w:rsidRPr="00EF3710">
              <w:rPr>
                <w:snapToGrid w:val="0"/>
              </w:rPr>
              <w:t>0.00%</w:t>
            </w:r>
          </w:p>
        </w:tc>
        <w:tc>
          <w:tcPr>
            <w:tcW w:w="1030" w:type="dxa"/>
            <w:shd w:val="clear" w:color="auto" w:fill="auto"/>
          </w:tcPr>
          <w:p w14:paraId="23F238D3" w14:textId="77777777" w:rsidR="00EF3710" w:rsidRPr="00EF3710" w:rsidRDefault="00EF3710" w:rsidP="00EF3710">
            <w:pPr>
              <w:spacing w:before="120"/>
              <w:rPr>
                <w:snapToGrid w:val="0"/>
              </w:rPr>
            </w:pPr>
            <w:r w:rsidRPr="00EF3710">
              <w:rPr>
                <w:snapToGrid w:val="0"/>
              </w:rPr>
              <w:t>1.92%</w:t>
            </w:r>
          </w:p>
        </w:tc>
      </w:tr>
      <w:tr w:rsidR="00EF3710" w:rsidRPr="00EF3710" w14:paraId="5B0122E3" w14:textId="77777777" w:rsidTr="00AD690B">
        <w:tc>
          <w:tcPr>
            <w:tcW w:w="2376" w:type="dxa"/>
            <w:shd w:val="clear" w:color="auto" w:fill="auto"/>
          </w:tcPr>
          <w:p w14:paraId="66EE16D8" w14:textId="77777777" w:rsidR="00EF3710" w:rsidRPr="00EF3710" w:rsidRDefault="00EF3710" w:rsidP="00EF3710">
            <w:pPr>
              <w:spacing w:before="120"/>
              <w:rPr>
                <w:snapToGrid w:val="0"/>
                <w:sz w:val="20"/>
              </w:rPr>
            </w:pPr>
            <w:r w:rsidRPr="00EF3710">
              <w:rPr>
                <w:snapToGrid w:val="0"/>
                <w:sz w:val="20"/>
              </w:rPr>
              <w:t>Proportion of men with bonus</w:t>
            </w:r>
            <w:r w:rsidRPr="00EF3710">
              <w:rPr>
                <w:snapToGrid w:val="0"/>
                <w:szCs w:val="24"/>
              </w:rPr>
              <w:t>**</w:t>
            </w:r>
          </w:p>
        </w:tc>
        <w:tc>
          <w:tcPr>
            <w:tcW w:w="960" w:type="dxa"/>
          </w:tcPr>
          <w:p w14:paraId="56EF3A34" w14:textId="77777777" w:rsidR="00EF3710" w:rsidRPr="00EF3710" w:rsidRDefault="00EF3710" w:rsidP="00EF3710">
            <w:pPr>
              <w:spacing w:before="120"/>
              <w:rPr>
                <w:b/>
                <w:snapToGrid w:val="0"/>
              </w:rPr>
            </w:pPr>
            <w:r w:rsidRPr="00EF3710">
              <w:rPr>
                <w:b/>
                <w:snapToGrid w:val="0"/>
              </w:rPr>
              <w:t>0.8%</w:t>
            </w:r>
          </w:p>
        </w:tc>
        <w:tc>
          <w:tcPr>
            <w:tcW w:w="1101" w:type="dxa"/>
          </w:tcPr>
          <w:p w14:paraId="3298BFA6" w14:textId="77777777" w:rsidR="00EF3710" w:rsidRPr="00EF3710" w:rsidRDefault="00EF3710" w:rsidP="00EF3710">
            <w:pPr>
              <w:spacing w:before="120"/>
              <w:rPr>
                <w:snapToGrid w:val="0"/>
              </w:rPr>
            </w:pPr>
            <w:r w:rsidRPr="00EF3710">
              <w:rPr>
                <w:snapToGrid w:val="0"/>
              </w:rPr>
              <w:t>1.17%</w:t>
            </w:r>
          </w:p>
        </w:tc>
        <w:tc>
          <w:tcPr>
            <w:tcW w:w="1097" w:type="dxa"/>
            <w:shd w:val="clear" w:color="auto" w:fill="auto"/>
          </w:tcPr>
          <w:p w14:paraId="28FD0638" w14:textId="77777777" w:rsidR="00EF3710" w:rsidRPr="00EF3710" w:rsidRDefault="00EF3710" w:rsidP="00EF3710">
            <w:pPr>
              <w:spacing w:before="120"/>
              <w:rPr>
                <w:snapToGrid w:val="0"/>
              </w:rPr>
            </w:pPr>
            <w:r w:rsidRPr="00EF3710">
              <w:rPr>
                <w:snapToGrid w:val="0"/>
              </w:rPr>
              <w:t>1.79%</w:t>
            </w:r>
          </w:p>
        </w:tc>
        <w:tc>
          <w:tcPr>
            <w:tcW w:w="1097" w:type="dxa"/>
            <w:shd w:val="clear" w:color="auto" w:fill="auto"/>
          </w:tcPr>
          <w:p w14:paraId="0DE44DB1" w14:textId="77777777" w:rsidR="00EF3710" w:rsidRPr="00EF3710" w:rsidRDefault="00EF3710" w:rsidP="00EF3710">
            <w:pPr>
              <w:spacing w:before="120"/>
              <w:rPr>
                <w:snapToGrid w:val="0"/>
              </w:rPr>
            </w:pPr>
            <w:r w:rsidRPr="00EF3710">
              <w:rPr>
                <w:snapToGrid w:val="0"/>
              </w:rPr>
              <w:t>1.37%</w:t>
            </w:r>
          </w:p>
        </w:tc>
        <w:tc>
          <w:tcPr>
            <w:tcW w:w="1097" w:type="dxa"/>
            <w:shd w:val="clear" w:color="auto" w:fill="auto"/>
          </w:tcPr>
          <w:p w14:paraId="0A852D63" w14:textId="77777777" w:rsidR="00EF3710" w:rsidRPr="00EF3710" w:rsidRDefault="00EF3710" w:rsidP="00EF3710">
            <w:pPr>
              <w:spacing w:before="120"/>
              <w:rPr>
                <w:snapToGrid w:val="0"/>
              </w:rPr>
            </w:pPr>
            <w:r w:rsidRPr="00EF3710">
              <w:rPr>
                <w:snapToGrid w:val="0"/>
              </w:rPr>
              <w:t>1.05%</w:t>
            </w:r>
          </w:p>
        </w:tc>
        <w:tc>
          <w:tcPr>
            <w:tcW w:w="1097" w:type="dxa"/>
            <w:shd w:val="clear" w:color="auto" w:fill="auto"/>
          </w:tcPr>
          <w:p w14:paraId="322AD747" w14:textId="77777777" w:rsidR="00EF3710" w:rsidRPr="00EF3710" w:rsidRDefault="00EF3710" w:rsidP="00EF3710">
            <w:pPr>
              <w:spacing w:before="120"/>
              <w:rPr>
                <w:snapToGrid w:val="0"/>
              </w:rPr>
            </w:pPr>
            <w:r w:rsidRPr="00EF3710">
              <w:rPr>
                <w:snapToGrid w:val="0"/>
              </w:rPr>
              <w:t>0.00%</w:t>
            </w:r>
          </w:p>
        </w:tc>
        <w:tc>
          <w:tcPr>
            <w:tcW w:w="1030" w:type="dxa"/>
            <w:shd w:val="clear" w:color="auto" w:fill="auto"/>
          </w:tcPr>
          <w:p w14:paraId="30918DFE" w14:textId="77777777" w:rsidR="00EF3710" w:rsidRPr="00EF3710" w:rsidRDefault="00EF3710" w:rsidP="00EF3710">
            <w:pPr>
              <w:spacing w:before="120"/>
              <w:rPr>
                <w:snapToGrid w:val="0"/>
              </w:rPr>
            </w:pPr>
            <w:r w:rsidRPr="00EF3710">
              <w:rPr>
                <w:snapToGrid w:val="0"/>
              </w:rPr>
              <w:t>0.00%</w:t>
            </w:r>
          </w:p>
        </w:tc>
      </w:tr>
      <w:tr w:rsidR="00EF3710" w:rsidRPr="00EF3710" w14:paraId="2F3D9CB0" w14:textId="77777777" w:rsidTr="00AD690B">
        <w:tc>
          <w:tcPr>
            <w:tcW w:w="2376" w:type="dxa"/>
            <w:shd w:val="clear" w:color="auto" w:fill="auto"/>
          </w:tcPr>
          <w:p w14:paraId="55A44198" w14:textId="77777777" w:rsidR="00EF3710" w:rsidRPr="00EF3710" w:rsidRDefault="00EF3710" w:rsidP="00EF3710">
            <w:pPr>
              <w:spacing w:before="120"/>
              <w:rPr>
                <w:snapToGrid w:val="0"/>
                <w:sz w:val="20"/>
              </w:rPr>
            </w:pPr>
            <w:r w:rsidRPr="00EF3710">
              <w:rPr>
                <w:snapToGrid w:val="0"/>
                <w:sz w:val="20"/>
              </w:rPr>
              <w:t>Proportion of women with bonus</w:t>
            </w:r>
            <w:r w:rsidRPr="00EF3710">
              <w:rPr>
                <w:snapToGrid w:val="0"/>
                <w:szCs w:val="24"/>
              </w:rPr>
              <w:t>**</w:t>
            </w:r>
          </w:p>
        </w:tc>
        <w:tc>
          <w:tcPr>
            <w:tcW w:w="960" w:type="dxa"/>
          </w:tcPr>
          <w:p w14:paraId="197549F9" w14:textId="77777777" w:rsidR="00EF3710" w:rsidRPr="00EF3710" w:rsidRDefault="00EF3710" w:rsidP="00EF3710">
            <w:pPr>
              <w:spacing w:before="120"/>
              <w:rPr>
                <w:b/>
                <w:snapToGrid w:val="0"/>
              </w:rPr>
            </w:pPr>
            <w:r w:rsidRPr="00EF3710">
              <w:rPr>
                <w:b/>
                <w:snapToGrid w:val="0"/>
              </w:rPr>
              <w:t>0.4%</w:t>
            </w:r>
          </w:p>
        </w:tc>
        <w:tc>
          <w:tcPr>
            <w:tcW w:w="1101" w:type="dxa"/>
          </w:tcPr>
          <w:p w14:paraId="43A3A28F" w14:textId="77777777" w:rsidR="00EF3710" w:rsidRPr="00EF3710" w:rsidRDefault="00EF3710" w:rsidP="00EF3710">
            <w:pPr>
              <w:spacing w:before="120"/>
              <w:rPr>
                <w:snapToGrid w:val="0"/>
              </w:rPr>
            </w:pPr>
            <w:r w:rsidRPr="00EF3710">
              <w:rPr>
                <w:snapToGrid w:val="0"/>
              </w:rPr>
              <w:t>0.37%</w:t>
            </w:r>
          </w:p>
        </w:tc>
        <w:tc>
          <w:tcPr>
            <w:tcW w:w="1097" w:type="dxa"/>
            <w:shd w:val="clear" w:color="auto" w:fill="auto"/>
          </w:tcPr>
          <w:p w14:paraId="77A01E43" w14:textId="77777777" w:rsidR="00EF3710" w:rsidRPr="00EF3710" w:rsidRDefault="00EF3710" w:rsidP="00EF3710">
            <w:pPr>
              <w:spacing w:before="120"/>
              <w:rPr>
                <w:snapToGrid w:val="0"/>
              </w:rPr>
            </w:pPr>
            <w:r w:rsidRPr="00EF3710">
              <w:rPr>
                <w:snapToGrid w:val="0"/>
              </w:rPr>
              <w:t>0.68%</w:t>
            </w:r>
          </w:p>
        </w:tc>
        <w:tc>
          <w:tcPr>
            <w:tcW w:w="1097" w:type="dxa"/>
            <w:shd w:val="clear" w:color="auto" w:fill="auto"/>
          </w:tcPr>
          <w:p w14:paraId="54B5FA22" w14:textId="77777777" w:rsidR="00EF3710" w:rsidRPr="00EF3710" w:rsidRDefault="00EF3710" w:rsidP="00EF3710">
            <w:pPr>
              <w:spacing w:before="120"/>
              <w:rPr>
                <w:snapToGrid w:val="0"/>
              </w:rPr>
            </w:pPr>
            <w:r w:rsidRPr="00EF3710">
              <w:rPr>
                <w:snapToGrid w:val="0"/>
              </w:rPr>
              <w:t>0.69%</w:t>
            </w:r>
          </w:p>
        </w:tc>
        <w:tc>
          <w:tcPr>
            <w:tcW w:w="1097" w:type="dxa"/>
            <w:shd w:val="clear" w:color="auto" w:fill="auto"/>
          </w:tcPr>
          <w:p w14:paraId="6449C5B0" w14:textId="77777777" w:rsidR="00EF3710" w:rsidRPr="00EF3710" w:rsidRDefault="00EF3710" w:rsidP="00EF3710">
            <w:pPr>
              <w:spacing w:before="120"/>
              <w:rPr>
                <w:snapToGrid w:val="0"/>
              </w:rPr>
            </w:pPr>
            <w:r w:rsidRPr="00EF3710">
              <w:rPr>
                <w:snapToGrid w:val="0"/>
              </w:rPr>
              <w:t>0.66%</w:t>
            </w:r>
          </w:p>
        </w:tc>
        <w:tc>
          <w:tcPr>
            <w:tcW w:w="1097" w:type="dxa"/>
            <w:shd w:val="clear" w:color="auto" w:fill="auto"/>
          </w:tcPr>
          <w:p w14:paraId="7D31DAE2" w14:textId="77777777" w:rsidR="00EF3710" w:rsidRPr="00EF3710" w:rsidRDefault="00EF3710" w:rsidP="00EF3710">
            <w:pPr>
              <w:spacing w:before="120"/>
              <w:rPr>
                <w:snapToGrid w:val="0"/>
              </w:rPr>
            </w:pPr>
            <w:r w:rsidRPr="00EF3710">
              <w:rPr>
                <w:snapToGrid w:val="0"/>
              </w:rPr>
              <w:t>0.97%</w:t>
            </w:r>
          </w:p>
        </w:tc>
        <w:tc>
          <w:tcPr>
            <w:tcW w:w="1030" w:type="dxa"/>
            <w:shd w:val="clear" w:color="auto" w:fill="auto"/>
          </w:tcPr>
          <w:p w14:paraId="7CA70A28" w14:textId="77777777" w:rsidR="00EF3710" w:rsidRPr="00EF3710" w:rsidRDefault="00EF3710" w:rsidP="00EF3710">
            <w:pPr>
              <w:spacing w:before="120"/>
              <w:rPr>
                <w:snapToGrid w:val="0"/>
              </w:rPr>
            </w:pPr>
            <w:r w:rsidRPr="00EF3710">
              <w:rPr>
                <w:snapToGrid w:val="0"/>
              </w:rPr>
              <w:t>0.96%</w:t>
            </w:r>
          </w:p>
        </w:tc>
      </w:tr>
      <w:tr w:rsidR="00EF3710" w:rsidRPr="00EF3710" w14:paraId="3CFDC335" w14:textId="77777777" w:rsidTr="00AD690B">
        <w:tc>
          <w:tcPr>
            <w:tcW w:w="2376" w:type="dxa"/>
            <w:shd w:val="clear" w:color="auto" w:fill="auto"/>
          </w:tcPr>
          <w:p w14:paraId="69B0E506" w14:textId="77777777" w:rsidR="00EF3710" w:rsidRPr="00EF3710" w:rsidRDefault="00EF3710" w:rsidP="00EF3710">
            <w:pPr>
              <w:spacing w:before="120"/>
              <w:rPr>
                <w:snapToGrid w:val="0"/>
                <w:sz w:val="20"/>
              </w:rPr>
            </w:pPr>
            <w:r w:rsidRPr="00EF3710">
              <w:rPr>
                <w:snapToGrid w:val="0"/>
                <w:sz w:val="20"/>
              </w:rPr>
              <w:t>Mean bonus** gender pay gap</w:t>
            </w:r>
          </w:p>
        </w:tc>
        <w:tc>
          <w:tcPr>
            <w:tcW w:w="960" w:type="dxa"/>
          </w:tcPr>
          <w:p w14:paraId="424F1642" w14:textId="77777777" w:rsidR="00EF3710" w:rsidRPr="00EF3710" w:rsidRDefault="00EF3710" w:rsidP="00EF3710">
            <w:pPr>
              <w:spacing w:before="120"/>
              <w:rPr>
                <w:b/>
                <w:snapToGrid w:val="0"/>
                <w:sz w:val="20"/>
              </w:rPr>
            </w:pPr>
            <w:r w:rsidRPr="00EF3710">
              <w:rPr>
                <w:b/>
                <w:snapToGrid w:val="0"/>
                <w:sz w:val="20"/>
              </w:rPr>
              <w:t>32.1%</w:t>
            </w:r>
          </w:p>
        </w:tc>
        <w:tc>
          <w:tcPr>
            <w:tcW w:w="1101" w:type="dxa"/>
          </w:tcPr>
          <w:p w14:paraId="6F15BE36" w14:textId="77777777" w:rsidR="00EF3710" w:rsidRPr="00EF3710" w:rsidRDefault="00EF3710" w:rsidP="00EF3710">
            <w:pPr>
              <w:spacing w:before="120"/>
              <w:rPr>
                <w:snapToGrid w:val="0"/>
              </w:rPr>
            </w:pPr>
            <w:r w:rsidRPr="00EF3710">
              <w:rPr>
                <w:snapToGrid w:val="0"/>
              </w:rPr>
              <w:t>18.8%</w:t>
            </w:r>
          </w:p>
        </w:tc>
        <w:tc>
          <w:tcPr>
            <w:tcW w:w="1097" w:type="dxa"/>
            <w:shd w:val="clear" w:color="auto" w:fill="auto"/>
          </w:tcPr>
          <w:p w14:paraId="302F0E76" w14:textId="77777777" w:rsidR="00EF3710" w:rsidRPr="00EF3710" w:rsidRDefault="00EF3710" w:rsidP="00EF3710">
            <w:pPr>
              <w:spacing w:before="120"/>
              <w:rPr>
                <w:snapToGrid w:val="0"/>
              </w:rPr>
            </w:pPr>
            <w:r w:rsidRPr="00EF3710">
              <w:rPr>
                <w:snapToGrid w:val="0"/>
              </w:rPr>
              <w:t>1.72%</w:t>
            </w:r>
          </w:p>
        </w:tc>
        <w:tc>
          <w:tcPr>
            <w:tcW w:w="1097" w:type="dxa"/>
            <w:shd w:val="clear" w:color="auto" w:fill="auto"/>
          </w:tcPr>
          <w:p w14:paraId="184A8DA0" w14:textId="77777777" w:rsidR="00EF3710" w:rsidRPr="00EF3710" w:rsidRDefault="00EF3710" w:rsidP="00EF3710">
            <w:pPr>
              <w:spacing w:before="120"/>
              <w:rPr>
                <w:snapToGrid w:val="0"/>
              </w:rPr>
            </w:pPr>
            <w:r w:rsidRPr="00EF3710">
              <w:rPr>
                <w:snapToGrid w:val="0"/>
              </w:rPr>
              <w:t>1.67%</w:t>
            </w:r>
          </w:p>
        </w:tc>
        <w:tc>
          <w:tcPr>
            <w:tcW w:w="1097" w:type="dxa"/>
            <w:shd w:val="clear" w:color="auto" w:fill="auto"/>
          </w:tcPr>
          <w:p w14:paraId="7F27F4E9" w14:textId="77777777" w:rsidR="00EF3710" w:rsidRPr="00EF3710" w:rsidRDefault="00EF3710" w:rsidP="00EF3710">
            <w:pPr>
              <w:spacing w:before="120"/>
              <w:rPr>
                <w:snapToGrid w:val="0"/>
              </w:rPr>
            </w:pPr>
            <w:r w:rsidRPr="00EF3710">
              <w:rPr>
                <w:snapToGrid w:val="0"/>
              </w:rPr>
              <w:t>1.72%</w:t>
            </w:r>
          </w:p>
        </w:tc>
        <w:tc>
          <w:tcPr>
            <w:tcW w:w="1097" w:type="dxa"/>
            <w:shd w:val="clear" w:color="auto" w:fill="auto"/>
          </w:tcPr>
          <w:p w14:paraId="3AEB7AEB" w14:textId="77777777" w:rsidR="00EF3710" w:rsidRPr="00EF3710" w:rsidRDefault="00EF3710" w:rsidP="00EF3710">
            <w:pPr>
              <w:spacing w:before="120"/>
              <w:rPr>
                <w:snapToGrid w:val="0"/>
              </w:rPr>
            </w:pPr>
            <w:r w:rsidRPr="00EF3710">
              <w:rPr>
                <w:snapToGrid w:val="0"/>
              </w:rPr>
              <w:t>n/a</w:t>
            </w:r>
          </w:p>
        </w:tc>
        <w:tc>
          <w:tcPr>
            <w:tcW w:w="1030" w:type="dxa"/>
            <w:shd w:val="clear" w:color="auto" w:fill="auto"/>
          </w:tcPr>
          <w:p w14:paraId="76D74EFA" w14:textId="77777777" w:rsidR="00EF3710" w:rsidRPr="00EF3710" w:rsidRDefault="00EF3710" w:rsidP="00EF3710">
            <w:pPr>
              <w:spacing w:before="120"/>
              <w:rPr>
                <w:snapToGrid w:val="0"/>
              </w:rPr>
            </w:pPr>
            <w:r w:rsidRPr="00EF3710">
              <w:rPr>
                <w:snapToGrid w:val="0"/>
              </w:rPr>
              <w:t>n/a</w:t>
            </w:r>
          </w:p>
        </w:tc>
      </w:tr>
      <w:tr w:rsidR="00EF3710" w:rsidRPr="00EF3710" w14:paraId="2E38DEA3" w14:textId="77777777" w:rsidTr="00AD690B">
        <w:tc>
          <w:tcPr>
            <w:tcW w:w="2376" w:type="dxa"/>
            <w:shd w:val="clear" w:color="auto" w:fill="auto"/>
          </w:tcPr>
          <w:p w14:paraId="6E36A1CA" w14:textId="77777777" w:rsidR="00EF3710" w:rsidRPr="00EF3710" w:rsidRDefault="00EF3710" w:rsidP="00EF3710">
            <w:pPr>
              <w:spacing w:before="120"/>
              <w:rPr>
                <w:snapToGrid w:val="0"/>
                <w:sz w:val="20"/>
              </w:rPr>
            </w:pPr>
            <w:r w:rsidRPr="00EF3710">
              <w:rPr>
                <w:snapToGrid w:val="0"/>
                <w:sz w:val="20"/>
              </w:rPr>
              <w:t>Median bonus** gender pay gap</w:t>
            </w:r>
          </w:p>
        </w:tc>
        <w:tc>
          <w:tcPr>
            <w:tcW w:w="960" w:type="dxa"/>
          </w:tcPr>
          <w:p w14:paraId="40E9C4E8" w14:textId="77777777" w:rsidR="00EF3710" w:rsidRPr="00EF3710" w:rsidRDefault="00EF3710" w:rsidP="00EF3710">
            <w:pPr>
              <w:spacing w:before="120"/>
              <w:rPr>
                <w:b/>
                <w:snapToGrid w:val="0"/>
                <w:sz w:val="20"/>
              </w:rPr>
            </w:pPr>
            <w:r w:rsidRPr="00EF3710">
              <w:rPr>
                <w:b/>
                <w:snapToGrid w:val="0"/>
                <w:sz w:val="20"/>
              </w:rPr>
              <w:t>-47.0%*</w:t>
            </w:r>
          </w:p>
        </w:tc>
        <w:tc>
          <w:tcPr>
            <w:tcW w:w="1101" w:type="dxa"/>
          </w:tcPr>
          <w:p w14:paraId="6333E24E" w14:textId="77777777" w:rsidR="00EF3710" w:rsidRPr="00EF3710" w:rsidRDefault="00EF3710" w:rsidP="00EF3710">
            <w:pPr>
              <w:spacing w:before="120"/>
              <w:rPr>
                <w:snapToGrid w:val="0"/>
              </w:rPr>
            </w:pPr>
            <w:r w:rsidRPr="00EF3710">
              <w:rPr>
                <w:snapToGrid w:val="0"/>
              </w:rPr>
              <w:t>1.84%</w:t>
            </w:r>
          </w:p>
        </w:tc>
        <w:tc>
          <w:tcPr>
            <w:tcW w:w="1097" w:type="dxa"/>
            <w:shd w:val="clear" w:color="auto" w:fill="auto"/>
          </w:tcPr>
          <w:p w14:paraId="587DA4FF" w14:textId="77777777" w:rsidR="00EF3710" w:rsidRPr="00EF3710" w:rsidRDefault="00EF3710" w:rsidP="00EF3710">
            <w:pPr>
              <w:spacing w:before="120"/>
              <w:rPr>
                <w:snapToGrid w:val="0"/>
              </w:rPr>
            </w:pPr>
            <w:r w:rsidRPr="00EF3710">
              <w:rPr>
                <w:snapToGrid w:val="0"/>
              </w:rPr>
              <w:t>1.84%</w:t>
            </w:r>
          </w:p>
        </w:tc>
        <w:tc>
          <w:tcPr>
            <w:tcW w:w="1097" w:type="dxa"/>
            <w:shd w:val="clear" w:color="auto" w:fill="auto"/>
          </w:tcPr>
          <w:p w14:paraId="672FC298" w14:textId="77777777" w:rsidR="00EF3710" w:rsidRPr="00EF3710" w:rsidRDefault="00EF3710" w:rsidP="00EF3710">
            <w:pPr>
              <w:spacing w:before="120"/>
              <w:rPr>
                <w:snapToGrid w:val="0"/>
              </w:rPr>
            </w:pPr>
            <w:r w:rsidRPr="00EF3710">
              <w:rPr>
                <w:snapToGrid w:val="0"/>
              </w:rPr>
              <w:t>1.65%</w:t>
            </w:r>
          </w:p>
        </w:tc>
        <w:tc>
          <w:tcPr>
            <w:tcW w:w="1097" w:type="dxa"/>
            <w:shd w:val="clear" w:color="auto" w:fill="auto"/>
          </w:tcPr>
          <w:p w14:paraId="2E493A01" w14:textId="77777777" w:rsidR="00EF3710" w:rsidRPr="00EF3710" w:rsidRDefault="00EF3710" w:rsidP="00EF3710">
            <w:pPr>
              <w:spacing w:before="120"/>
              <w:rPr>
                <w:snapToGrid w:val="0"/>
              </w:rPr>
            </w:pPr>
            <w:r w:rsidRPr="00EF3710">
              <w:rPr>
                <w:snapToGrid w:val="0"/>
              </w:rPr>
              <w:t>1.82%</w:t>
            </w:r>
          </w:p>
        </w:tc>
        <w:tc>
          <w:tcPr>
            <w:tcW w:w="1097" w:type="dxa"/>
            <w:shd w:val="clear" w:color="auto" w:fill="auto"/>
          </w:tcPr>
          <w:p w14:paraId="4A430AB6" w14:textId="77777777" w:rsidR="00EF3710" w:rsidRPr="00EF3710" w:rsidRDefault="00EF3710" w:rsidP="00EF3710">
            <w:pPr>
              <w:spacing w:before="120"/>
              <w:rPr>
                <w:snapToGrid w:val="0"/>
              </w:rPr>
            </w:pPr>
            <w:r w:rsidRPr="00EF3710">
              <w:rPr>
                <w:snapToGrid w:val="0"/>
              </w:rPr>
              <w:t>n/a</w:t>
            </w:r>
          </w:p>
        </w:tc>
        <w:tc>
          <w:tcPr>
            <w:tcW w:w="1030" w:type="dxa"/>
            <w:shd w:val="clear" w:color="auto" w:fill="auto"/>
          </w:tcPr>
          <w:p w14:paraId="08FEB380" w14:textId="77777777" w:rsidR="00EF3710" w:rsidRPr="00EF3710" w:rsidRDefault="00EF3710" w:rsidP="00EF3710">
            <w:pPr>
              <w:spacing w:before="120"/>
              <w:rPr>
                <w:snapToGrid w:val="0"/>
              </w:rPr>
            </w:pPr>
            <w:r w:rsidRPr="00EF3710">
              <w:rPr>
                <w:snapToGrid w:val="0"/>
              </w:rPr>
              <w:t>n/a</w:t>
            </w:r>
          </w:p>
        </w:tc>
      </w:tr>
      <w:tr w:rsidR="00EF3710" w:rsidRPr="00EF3710" w14:paraId="1DFE4D24" w14:textId="77777777" w:rsidTr="00AD690B">
        <w:tc>
          <w:tcPr>
            <w:tcW w:w="2376" w:type="dxa"/>
            <w:shd w:val="clear" w:color="auto" w:fill="auto"/>
          </w:tcPr>
          <w:p w14:paraId="56C1E257" w14:textId="77777777" w:rsidR="00EF3710" w:rsidRPr="00EF3710" w:rsidRDefault="00EF3710" w:rsidP="00EF3710">
            <w:pPr>
              <w:spacing w:before="120"/>
              <w:rPr>
                <w:snapToGrid w:val="0"/>
              </w:rPr>
            </w:pPr>
          </w:p>
        </w:tc>
        <w:tc>
          <w:tcPr>
            <w:tcW w:w="960" w:type="dxa"/>
          </w:tcPr>
          <w:p w14:paraId="6714F640" w14:textId="77777777" w:rsidR="00EF3710" w:rsidRPr="00EF3710" w:rsidRDefault="00EF3710" w:rsidP="00EF3710">
            <w:pPr>
              <w:spacing w:before="120"/>
              <w:rPr>
                <w:snapToGrid w:val="0"/>
              </w:rPr>
            </w:pPr>
          </w:p>
        </w:tc>
        <w:tc>
          <w:tcPr>
            <w:tcW w:w="1101" w:type="dxa"/>
          </w:tcPr>
          <w:p w14:paraId="2A37DC81" w14:textId="77777777" w:rsidR="00EF3710" w:rsidRPr="00EF3710" w:rsidRDefault="00EF3710" w:rsidP="00EF3710">
            <w:pPr>
              <w:spacing w:before="120"/>
              <w:rPr>
                <w:snapToGrid w:val="0"/>
              </w:rPr>
            </w:pPr>
          </w:p>
        </w:tc>
        <w:tc>
          <w:tcPr>
            <w:tcW w:w="1097" w:type="dxa"/>
            <w:shd w:val="clear" w:color="auto" w:fill="auto"/>
          </w:tcPr>
          <w:p w14:paraId="3C12FFE1" w14:textId="77777777" w:rsidR="00EF3710" w:rsidRPr="00EF3710" w:rsidRDefault="00EF3710" w:rsidP="00EF3710">
            <w:pPr>
              <w:spacing w:before="120"/>
              <w:rPr>
                <w:snapToGrid w:val="0"/>
              </w:rPr>
            </w:pPr>
          </w:p>
        </w:tc>
        <w:tc>
          <w:tcPr>
            <w:tcW w:w="1097" w:type="dxa"/>
            <w:shd w:val="clear" w:color="auto" w:fill="auto"/>
          </w:tcPr>
          <w:p w14:paraId="3FEF2B5D" w14:textId="77777777" w:rsidR="00EF3710" w:rsidRPr="00EF3710" w:rsidRDefault="00EF3710" w:rsidP="00EF3710">
            <w:pPr>
              <w:spacing w:before="120"/>
              <w:rPr>
                <w:snapToGrid w:val="0"/>
              </w:rPr>
            </w:pPr>
          </w:p>
        </w:tc>
        <w:tc>
          <w:tcPr>
            <w:tcW w:w="1097" w:type="dxa"/>
            <w:shd w:val="clear" w:color="auto" w:fill="auto"/>
          </w:tcPr>
          <w:p w14:paraId="555F5358" w14:textId="77777777" w:rsidR="00EF3710" w:rsidRPr="00EF3710" w:rsidRDefault="00EF3710" w:rsidP="00EF3710">
            <w:pPr>
              <w:spacing w:before="120"/>
              <w:rPr>
                <w:snapToGrid w:val="0"/>
              </w:rPr>
            </w:pPr>
          </w:p>
        </w:tc>
        <w:tc>
          <w:tcPr>
            <w:tcW w:w="1097" w:type="dxa"/>
            <w:shd w:val="clear" w:color="auto" w:fill="auto"/>
          </w:tcPr>
          <w:p w14:paraId="450D3887" w14:textId="77777777" w:rsidR="00EF3710" w:rsidRPr="00EF3710" w:rsidRDefault="00EF3710" w:rsidP="00EF3710">
            <w:pPr>
              <w:spacing w:before="120"/>
              <w:rPr>
                <w:snapToGrid w:val="0"/>
              </w:rPr>
            </w:pPr>
          </w:p>
        </w:tc>
        <w:tc>
          <w:tcPr>
            <w:tcW w:w="1030" w:type="dxa"/>
            <w:shd w:val="clear" w:color="auto" w:fill="auto"/>
          </w:tcPr>
          <w:p w14:paraId="273E598D" w14:textId="77777777" w:rsidR="00EF3710" w:rsidRPr="00EF3710" w:rsidRDefault="00EF3710" w:rsidP="00EF3710">
            <w:pPr>
              <w:spacing w:before="120"/>
              <w:rPr>
                <w:snapToGrid w:val="0"/>
              </w:rPr>
            </w:pPr>
          </w:p>
        </w:tc>
      </w:tr>
      <w:tr w:rsidR="00EF3710" w:rsidRPr="00EF3710" w14:paraId="57E3A277" w14:textId="77777777" w:rsidTr="00AD690B">
        <w:tc>
          <w:tcPr>
            <w:tcW w:w="2376" w:type="dxa"/>
            <w:shd w:val="clear" w:color="auto" w:fill="auto"/>
          </w:tcPr>
          <w:p w14:paraId="3FE22C87" w14:textId="77777777" w:rsidR="00EF3710" w:rsidRPr="00EF3710" w:rsidRDefault="00EF3710" w:rsidP="00EF3710">
            <w:pPr>
              <w:spacing w:before="120"/>
              <w:rPr>
                <w:snapToGrid w:val="0"/>
                <w:sz w:val="20"/>
              </w:rPr>
            </w:pPr>
            <w:r w:rsidRPr="00EF3710">
              <w:rPr>
                <w:snapToGrid w:val="0"/>
                <w:sz w:val="20"/>
              </w:rPr>
              <w:t>Percentage of males and females in each of the four pay quartiles:</w:t>
            </w:r>
          </w:p>
        </w:tc>
        <w:tc>
          <w:tcPr>
            <w:tcW w:w="960" w:type="dxa"/>
          </w:tcPr>
          <w:p w14:paraId="62D317B3" w14:textId="77777777" w:rsidR="00EF3710" w:rsidRPr="00EF3710" w:rsidRDefault="00EF3710" w:rsidP="00EF3710">
            <w:pPr>
              <w:spacing w:before="120"/>
              <w:rPr>
                <w:snapToGrid w:val="0"/>
              </w:rPr>
            </w:pPr>
          </w:p>
        </w:tc>
        <w:tc>
          <w:tcPr>
            <w:tcW w:w="1101" w:type="dxa"/>
          </w:tcPr>
          <w:p w14:paraId="57411401" w14:textId="77777777" w:rsidR="00EF3710" w:rsidRPr="00EF3710" w:rsidRDefault="00EF3710" w:rsidP="00EF3710">
            <w:pPr>
              <w:spacing w:before="120"/>
              <w:rPr>
                <w:snapToGrid w:val="0"/>
              </w:rPr>
            </w:pPr>
          </w:p>
        </w:tc>
        <w:tc>
          <w:tcPr>
            <w:tcW w:w="5418" w:type="dxa"/>
            <w:gridSpan w:val="5"/>
            <w:shd w:val="clear" w:color="auto" w:fill="auto"/>
          </w:tcPr>
          <w:p w14:paraId="76A94C5E" w14:textId="77777777" w:rsidR="00EF3710" w:rsidRPr="00EF3710" w:rsidRDefault="00EF3710" w:rsidP="00EF3710">
            <w:pPr>
              <w:spacing w:before="120"/>
              <w:rPr>
                <w:snapToGrid w:val="0"/>
              </w:rPr>
            </w:pPr>
          </w:p>
        </w:tc>
      </w:tr>
      <w:tr w:rsidR="00EF3710" w:rsidRPr="00EF3710" w14:paraId="5328FFA6" w14:textId="77777777" w:rsidTr="00AD690B">
        <w:tc>
          <w:tcPr>
            <w:tcW w:w="2376" w:type="dxa"/>
            <w:shd w:val="clear" w:color="auto" w:fill="auto"/>
          </w:tcPr>
          <w:p w14:paraId="52DC93DC" w14:textId="77777777" w:rsidR="00EF3710" w:rsidRPr="00EF3710" w:rsidRDefault="00EF3710" w:rsidP="00EF3710">
            <w:pPr>
              <w:spacing w:before="120"/>
              <w:rPr>
                <w:snapToGrid w:val="0"/>
              </w:rPr>
            </w:pPr>
            <w:r w:rsidRPr="00EF3710">
              <w:rPr>
                <w:snapToGrid w:val="0"/>
              </w:rPr>
              <w:t xml:space="preserve">Upper quartile:       </w:t>
            </w:r>
          </w:p>
          <w:p w14:paraId="73213696" w14:textId="77777777" w:rsidR="00EF3710" w:rsidRPr="00EF3710" w:rsidRDefault="00EF3710" w:rsidP="00EF3710">
            <w:pPr>
              <w:spacing w:before="120"/>
              <w:rPr>
                <w:snapToGrid w:val="0"/>
              </w:rPr>
            </w:pPr>
            <w:r w:rsidRPr="00EF3710">
              <w:rPr>
                <w:snapToGrid w:val="0"/>
              </w:rPr>
              <w:t>men                    women</w:t>
            </w:r>
          </w:p>
        </w:tc>
        <w:tc>
          <w:tcPr>
            <w:tcW w:w="960" w:type="dxa"/>
          </w:tcPr>
          <w:p w14:paraId="5C380643" w14:textId="77777777" w:rsidR="00EF3710" w:rsidRPr="00EF3710" w:rsidRDefault="00EF3710" w:rsidP="00EF3710">
            <w:pPr>
              <w:spacing w:before="120"/>
              <w:rPr>
                <w:b/>
                <w:snapToGrid w:val="0"/>
              </w:rPr>
            </w:pPr>
          </w:p>
          <w:p w14:paraId="6C551639" w14:textId="77777777" w:rsidR="00EF3710" w:rsidRPr="00EF3710" w:rsidRDefault="00EF3710" w:rsidP="00EF3710">
            <w:pPr>
              <w:spacing w:before="120"/>
              <w:rPr>
                <w:b/>
                <w:snapToGrid w:val="0"/>
              </w:rPr>
            </w:pPr>
            <w:r w:rsidRPr="00EF3710">
              <w:rPr>
                <w:b/>
                <w:snapToGrid w:val="0"/>
              </w:rPr>
              <w:t>50.0%</w:t>
            </w:r>
          </w:p>
          <w:p w14:paraId="17427967" w14:textId="77777777" w:rsidR="00EF3710" w:rsidRPr="00EF3710" w:rsidRDefault="00EF3710" w:rsidP="00EF3710">
            <w:pPr>
              <w:spacing w:before="120"/>
              <w:rPr>
                <w:b/>
                <w:snapToGrid w:val="0"/>
              </w:rPr>
            </w:pPr>
            <w:r w:rsidRPr="00EF3710">
              <w:rPr>
                <w:b/>
                <w:snapToGrid w:val="0"/>
              </w:rPr>
              <w:t>50.0%</w:t>
            </w:r>
          </w:p>
        </w:tc>
        <w:tc>
          <w:tcPr>
            <w:tcW w:w="1101" w:type="dxa"/>
          </w:tcPr>
          <w:p w14:paraId="6C381F16" w14:textId="77777777" w:rsidR="00EF3710" w:rsidRPr="00EF3710" w:rsidRDefault="00EF3710" w:rsidP="00EF3710">
            <w:pPr>
              <w:spacing w:before="120"/>
              <w:rPr>
                <w:snapToGrid w:val="0"/>
              </w:rPr>
            </w:pPr>
          </w:p>
          <w:p w14:paraId="400D7173" w14:textId="77777777" w:rsidR="00EF3710" w:rsidRPr="00EF3710" w:rsidRDefault="00EF3710" w:rsidP="00EF3710">
            <w:pPr>
              <w:spacing w:before="120"/>
              <w:rPr>
                <w:snapToGrid w:val="0"/>
              </w:rPr>
            </w:pPr>
            <w:r w:rsidRPr="00EF3710">
              <w:rPr>
                <w:snapToGrid w:val="0"/>
              </w:rPr>
              <w:t xml:space="preserve">49.62%  </w:t>
            </w:r>
          </w:p>
          <w:p w14:paraId="5EC61654" w14:textId="77777777" w:rsidR="00EF3710" w:rsidRPr="00EF3710" w:rsidRDefault="00EF3710" w:rsidP="00EF3710">
            <w:pPr>
              <w:spacing w:before="120"/>
              <w:rPr>
                <w:snapToGrid w:val="0"/>
              </w:rPr>
            </w:pPr>
            <w:r w:rsidRPr="00EF3710">
              <w:rPr>
                <w:snapToGrid w:val="0"/>
              </w:rPr>
              <w:t>50.38%</w:t>
            </w:r>
          </w:p>
        </w:tc>
        <w:tc>
          <w:tcPr>
            <w:tcW w:w="1097" w:type="dxa"/>
            <w:shd w:val="clear" w:color="auto" w:fill="auto"/>
          </w:tcPr>
          <w:p w14:paraId="70536E47" w14:textId="77777777" w:rsidR="00EF3710" w:rsidRPr="00EF3710" w:rsidRDefault="00EF3710" w:rsidP="00EF3710">
            <w:pPr>
              <w:spacing w:before="120"/>
              <w:rPr>
                <w:snapToGrid w:val="0"/>
              </w:rPr>
            </w:pPr>
          </w:p>
          <w:p w14:paraId="4BBA8ADC" w14:textId="77777777" w:rsidR="00EF3710" w:rsidRPr="00EF3710" w:rsidRDefault="00EF3710" w:rsidP="00EF3710">
            <w:pPr>
              <w:spacing w:before="120"/>
              <w:rPr>
                <w:snapToGrid w:val="0"/>
              </w:rPr>
            </w:pPr>
            <w:r w:rsidRPr="00EF3710">
              <w:rPr>
                <w:snapToGrid w:val="0"/>
              </w:rPr>
              <w:t>50.69%</w:t>
            </w:r>
          </w:p>
          <w:p w14:paraId="4E6DF782" w14:textId="77777777" w:rsidR="00EF3710" w:rsidRPr="00EF3710" w:rsidRDefault="00EF3710" w:rsidP="00EF3710">
            <w:pPr>
              <w:spacing w:before="120"/>
              <w:rPr>
                <w:snapToGrid w:val="0"/>
              </w:rPr>
            </w:pPr>
            <w:r w:rsidRPr="00EF3710">
              <w:rPr>
                <w:snapToGrid w:val="0"/>
              </w:rPr>
              <w:t>49.31%</w:t>
            </w:r>
          </w:p>
        </w:tc>
        <w:tc>
          <w:tcPr>
            <w:tcW w:w="1097" w:type="dxa"/>
            <w:shd w:val="clear" w:color="auto" w:fill="auto"/>
          </w:tcPr>
          <w:p w14:paraId="6BBD0B0B" w14:textId="77777777" w:rsidR="00EF3710" w:rsidRPr="00EF3710" w:rsidRDefault="00EF3710" w:rsidP="00EF3710">
            <w:pPr>
              <w:spacing w:before="120"/>
              <w:rPr>
                <w:snapToGrid w:val="0"/>
              </w:rPr>
            </w:pPr>
          </w:p>
          <w:p w14:paraId="4E5D9683" w14:textId="77777777" w:rsidR="00EF3710" w:rsidRPr="00EF3710" w:rsidRDefault="00EF3710" w:rsidP="00EF3710">
            <w:pPr>
              <w:spacing w:before="120"/>
              <w:rPr>
                <w:snapToGrid w:val="0"/>
              </w:rPr>
            </w:pPr>
            <w:r w:rsidRPr="00EF3710">
              <w:rPr>
                <w:snapToGrid w:val="0"/>
              </w:rPr>
              <w:t>49.66%</w:t>
            </w:r>
          </w:p>
          <w:p w14:paraId="7764009E" w14:textId="77777777" w:rsidR="00EF3710" w:rsidRPr="00EF3710" w:rsidRDefault="00EF3710" w:rsidP="00EF3710">
            <w:pPr>
              <w:spacing w:before="120"/>
              <w:rPr>
                <w:snapToGrid w:val="0"/>
              </w:rPr>
            </w:pPr>
            <w:r w:rsidRPr="00EF3710">
              <w:rPr>
                <w:snapToGrid w:val="0"/>
              </w:rPr>
              <w:t>50.34%</w:t>
            </w:r>
          </w:p>
        </w:tc>
        <w:tc>
          <w:tcPr>
            <w:tcW w:w="1097" w:type="dxa"/>
            <w:shd w:val="clear" w:color="auto" w:fill="auto"/>
          </w:tcPr>
          <w:p w14:paraId="5278B637" w14:textId="77777777" w:rsidR="00EF3710" w:rsidRPr="00EF3710" w:rsidRDefault="00EF3710" w:rsidP="00EF3710">
            <w:pPr>
              <w:spacing w:before="120"/>
              <w:rPr>
                <w:snapToGrid w:val="0"/>
              </w:rPr>
            </w:pPr>
          </w:p>
          <w:p w14:paraId="7BF34FE4" w14:textId="77777777" w:rsidR="00EF3710" w:rsidRPr="00EF3710" w:rsidRDefault="00EF3710" w:rsidP="00EF3710">
            <w:pPr>
              <w:spacing w:before="120"/>
              <w:rPr>
                <w:snapToGrid w:val="0"/>
              </w:rPr>
            </w:pPr>
            <w:r w:rsidRPr="00EF3710">
              <w:rPr>
                <w:snapToGrid w:val="0"/>
              </w:rPr>
              <w:t>49.66%</w:t>
            </w:r>
          </w:p>
          <w:p w14:paraId="404CDDF5" w14:textId="77777777" w:rsidR="00EF3710" w:rsidRPr="00EF3710" w:rsidRDefault="00EF3710" w:rsidP="00EF3710">
            <w:pPr>
              <w:spacing w:before="120"/>
              <w:rPr>
                <w:snapToGrid w:val="0"/>
              </w:rPr>
            </w:pPr>
            <w:r w:rsidRPr="00EF3710">
              <w:rPr>
                <w:snapToGrid w:val="0"/>
              </w:rPr>
              <w:t>50.34%</w:t>
            </w:r>
          </w:p>
        </w:tc>
        <w:tc>
          <w:tcPr>
            <w:tcW w:w="1097" w:type="dxa"/>
            <w:shd w:val="clear" w:color="auto" w:fill="auto"/>
          </w:tcPr>
          <w:p w14:paraId="5FEBCADB" w14:textId="77777777" w:rsidR="00EF3710" w:rsidRPr="00EF3710" w:rsidRDefault="00EF3710" w:rsidP="00EF3710">
            <w:pPr>
              <w:spacing w:before="120"/>
              <w:rPr>
                <w:snapToGrid w:val="0"/>
              </w:rPr>
            </w:pPr>
          </w:p>
          <w:p w14:paraId="73D21F01" w14:textId="77777777" w:rsidR="00EF3710" w:rsidRPr="00EF3710" w:rsidRDefault="00EF3710" w:rsidP="00EF3710">
            <w:pPr>
              <w:spacing w:before="120"/>
              <w:rPr>
                <w:snapToGrid w:val="0"/>
              </w:rPr>
            </w:pPr>
            <w:r w:rsidRPr="00EF3710">
              <w:rPr>
                <w:snapToGrid w:val="0"/>
              </w:rPr>
              <w:t>49.34%</w:t>
            </w:r>
          </w:p>
          <w:p w14:paraId="5EFC5555" w14:textId="77777777" w:rsidR="00EF3710" w:rsidRPr="00EF3710" w:rsidRDefault="00EF3710" w:rsidP="00EF3710">
            <w:pPr>
              <w:spacing w:before="120"/>
              <w:rPr>
                <w:snapToGrid w:val="0"/>
              </w:rPr>
            </w:pPr>
            <w:r w:rsidRPr="00EF3710">
              <w:rPr>
                <w:snapToGrid w:val="0"/>
              </w:rPr>
              <w:t>50.66%</w:t>
            </w:r>
          </w:p>
        </w:tc>
        <w:tc>
          <w:tcPr>
            <w:tcW w:w="1030" w:type="dxa"/>
            <w:shd w:val="clear" w:color="auto" w:fill="auto"/>
          </w:tcPr>
          <w:p w14:paraId="11629458" w14:textId="77777777" w:rsidR="00EF3710" w:rsidRPr="00EF3710" w:rsidRDefault="00EF3710" w:rsidP="00EF3710">
            <w:pPr>
              <w:spacing w:before="120"/>
              <w:rPr>
                <w:snapToGrid w:val="0"/>
              </w:rPr>
            </w:pPr>
          </w:p>
          <w:p w14:paraId="0DE1AE1E" w14:textId="77777777" w:rsidR="00EF3710" w:rsidRPr="00EF3710" w:rsidRDefault="00EF3710" w:rsidP="00EF3710">
            <w:pPr>
              <w:spacing w:before="120"/>
              <w:rPr>
                <w:snapToGrid w:val="0"/>
              </w:rPr>
            </w:pPr>
            <w:r w:rsidRPr="00EF3710">
              <w:rPr>
                <w:snapToGrid w:val="0"/>
              </w:rPr>
              <w:t>47.68%</w:t>
            </w:r>
          </w:p>
          <w:p w14:paraId="25E16694" w14:textId="77777777" w:rsidR="00EF3710" w:rsidRPr="00EF3710" w:rsidRDefault="00EF3710" w:rsidP="00EF3710">
            <w:pPr>
              <w:spacing w:before="120"/>
              <w:rPr>
                <w:snapToGrid w:val="0"/>
              </w:rPr>
            </w:pPr>
            <w:r w:rsidRPr="00EF3710">
              <w:rPr>
                <w:snapToGrid w:val="0"/>
              </w:rPr>
              <w:t>52.32%</w:t>
            </w:r>
          </w:p>
        </w:tc>
      </w:tr>
      <w:tr w:rsidR="00EF3710" w:rsidRPr="00EF3710" w14:paraId="3ADE7B7A" w14:textId="77777777" w:rsidTr="00AD690B">
        <w:tc>
          <w:tcPr>
            <w:tcW w:w="2376" w:type="dxa"/>
            <w:shd w:val="clear" w:color="auto" w:fill="auto"/>
          </w:tcPr>
          <w:p w14:paraId="66E472DF" w14:textId="77777777" w:rsidR="00EF3710" w:rsidRPr="00EF3710" w:rsidRDefault="00EF3710" w:rsidP="00EF3710">
            <w:pPr>
              <w:spacing w:before="120"/>
              <w:rPr>
                <w:snapToGrid w:val="0"/>
              </w:rPr>
            </w:pPr>
            <w:r w:rsidRPr="00EF3710">
              <w:rPr>
                <w:snapToGrid w:val="0"/>
              </w:rPr>
              <w:t xml:space="preserve">Upper mid-quartile: </w:t>
            </w:r>
          </w:p>
          <w:p w14:paraId="6517C09B" w14:textId="77777777" w:rsidR="00EF3710" w:rsidRPr="00EF3710" w:rsidRDefault="00EF3710" w:rsidP="00EF3710">
            <w:pPr>
              <w:spacing w:before="120"/>
              <w:rPr>
                <w:snapToGrid w:val="0"/>
              </w:rPr>
            </w:pPr>
            <w:r w:rsidRPr="00EF3710">
              <w:rPr>
                <w:snapToGrid w:val="0"/>
              </w:rPr>
              <w:t>men                       women</w:t>
            </w:r>
          </w:p>
        </w:tc>
        <w:tc>
          <w:tcPr>
            <w:tcW w:w="960" w:type="dxa"/>
          </w:tcPr>
          <w:p w14:paraId="5B44F437" w14:textId="77777777" w:rsidR="00EF3710" w:rsidRPr="00EF3710" w:rsidRDefault="00EF3710" w:rsidP="00EF3710">
            <w:pPr>
              <w:spacing w:before="120"/>
              <w:rPr>
                <w:b/>
                <w:snapToGrid w:val="0"/>
              </w:rPr>
            </w:pPr>
          </w:p>
          <w:p w14:paraId="7F59D01F" w14:textId="77777777" w:rsidR="00EF3710" w:rsidRPr="00EF3710" w:rsidRDefault="00EF3710" w:rsidP="00EF3710">
            <w:pPr>
              <w:spacing w:before="120"/>
              <w:rPr>
                <w:b/>
                <w:snapToGrid w:val="0"/>
              </w:rPr>
            </w:pPr>
            <w:r w:rsidRPr="00EF3710">
              <w:rPr>
                <w:b/>
                <w:snapToGrid w:val="0"/>
              </w:rPr>
              <w:t>53.0%</w:t>
            </w:r>
          </w:p>
          <w:p w14:paraId="339235EA" w14:textId="77777777" w:rsidR="00EF3710" w:rsidRPr="00EF3710" w:rsidRDefault="00EF3710" w:rsidP="00EF3710">
            <w:pPr>
              <w:spacing w:before="120"/>
              <w:rPr>
                <w:b/>
                <w:snapToGrid w:val="0"/>
              </w:rPr>
            </w:pPr>
            <w:r w:rsidRPr="00EF3710">
              <w:rPr>
                <w:b/>
                <w:snapToGrid w:val="0"/>
              </w:rPr>
              <w:t>47.0%</w:t>
            </w:r>
          </w:p>
        </w:tc>
        <w:tc>
          <w:tcPr>
            <w:tcW w:w="1101" w:type="dxa"/>
          </w:tcPr>
          <w:p w14:paraId="0B2B2734" w14:textId="77777777" w:rsidR="00EF3710" w:rsidRPr="00EF3710" w:rsidRDefault="00EF3710" w:rsidP="00EF3710">
            <w:pPr>
              <w:spacing w:before="120"/>
              <w:rPr>
                <w:snapToGrid w:val="0"/>
              </w:rPr>
            </w:pPr>
          </w:p>
          <w:p w14:paraId="118BBD86" w14:textId="77777777" w:rsidR="00EF3710" w:rsidRPr="00EF3710" w:rsidRDefault="00EF3710" w:rsidP="00EF3710">
            <w:pPr>
              <w:spacing w:before="120"/>
              <w:rPr>
                <w:snapToGrid w:val="0"/>
              </w:rPr>
            </w:pPr>
            <w:r w:rsidRPr="00EF3710">
              <w:rPr>
                <w:snapToGrid w:val="0"/>
              </w:rPr>
              <w:t>44.62% 55.38%</w:t>
            </w:r>
          </w:p>
        </w:tc>
        <w:tc>
          <w:tcPr>
            <w:tcW w:w="1097" w:type="dxa"/>
            <w:shd w:val="clear" w:color="auto" w:fill="auto"/>
          </w:tcPr>
          <w:p w14:paraId="38F28A08" w14:textId="77777777" w:rsidR="00EF3710" w:rsidRPr="00EF3710" w:rsidRDefault="00EF3710" w:rsidP="00EF3710">
            <w:pPr>
              <w:spacing w:before="120"/>
              <w:rPr>
                <w:snapToGrid w:val="0"/>
              </w:rPr>
            </w:pPr>
          </w:p>
          <w:p w14:paraId="4BA63244" w14:textId="77777777" w:rsidR="00EF3710" w:rsidRPr="00EF3710" w:rsidRDefault="00EF3710" w:rsidP="00EF3710">
            <w:pPr>
              <w:spacing w:before="120"/>
              <w:rPr>
                <w:snapToGrid w:val="0"/>
              </w:rPr>
            </w:pPr>
            <w:r w:rsidRPr="00EF3710">
              <w:rPr>
                <w:snapToGrid w:val="0"/>
              </w:rPr>
              <w:t>46.53%</w:t>
            </w:r>
          </w:p>
          <w:p w14:paraId="41E340FB" w14:textId="77777777" w:rsidR="00EF3710" w:rsidRPr="00EF3710" w:rsidRDefault="00EF3710" w:rsidP="00EF3710">
            <w:pPr>
              <w:spacing w:before="120"/>
              <w:rPr>
                <w:snapToGrid w:val="0"/>
              </w:rPr>
            </w:pPr>
            <w:r w:rsidRPr="00EF3710">
              <w:rPr>
                <w:snapToGrid w:val="0"/>
              </w:rPr>
              <w:t>53.47%</w:t>
            </w:r>
          </w:p>
        </w:tc>
        <w:tc>
          <w:tcPr>
            <w:tcW w:w="1097" w:type="dxa"/>
            <w:shd w:val="clear" w:color="auto" w:fill="auto"/>
          </w:tcPr>
          <w:p w14:paraId="4640B4B3" w14:textId="77777777" w:rsidR="00EF3710" w:rsidRPr="00EF3710" w:rsidRDefault="00EF3710" w:rsidP="00EF3710">
            <w:pPr>
              <w:spacing w:before="120"/>
              <w:rPr>
                <w:snapToGrid w:val="0"/>
              </w:rPr>
            </w:pPr>
          </w:p>
          <w:p w14:paraId="3B6116DC" w14:textId="77777777" w:rsidR="00EF3710" w:rsidRPr="00EF3710" w:rsidRDefault="00EF3710" w:rsidP="00EF3710">
            <w:pPr>
              <w:spacing w:before="120"/>
              <w:rPr>
                <w:snapToGrid w:val="0"/>
              </w:rPr>
            </w:pPr>
            <w:r w:rsidRPr="00EF3710">
              <w:rPr>
                <w:snapToGrid w:val="0"/>
              </w:rPr>
              <w:t>44.83%</w:t>
            </w:r>
          </w:p>
          <w:p w14:paraId="16B6DBFA" w14:textId="77777777" w:rsidR="00EF3710" w:rsidRPr="00EF3710" w:rsidRDefault="00EF3710" w:rsidP="00EF3710">
            <w:pPr>
              <w:spacing w:before="120"/>
              <w:rPr>
                <w:snapToGrid w:val="0"/>
              </w:rPr>
            </w:pPr>
            <w:r w:rsidRPr="00EF3710">
              <w:rPr>
                <w:snapToGrid w:val="0"/>
              </w:rPr>
              <w:t>55.17%</w:t>
            </w:r>
          </w:p>
        </w:tc>
        <w:tc>
          <w:tcPr>
            <w:tcW w:w="1097" w:type="dxa"/>
            <w:shd w:val="clear" w:color="auto" w:fill="auto"/>
          </w:tcPr>
          <w:p w14:paraId="0021C870" w14:textId="77777777" w:rsidR="00EF3710" w:rsidRPr="00EF3710" w:rsidRDefault="00EF3710" w:rsidP="00EF3710">
            <w:pPr>
              <w:spacing w:before="120"/>
              <w:rPr>
                <w:snapToGrid w:val="0"/>
              </w:rPr>
            </w:pPr>
          </w:p>
          <w:p w14:paraId="2B131029" w14:textId="77777777" w:rsidR="00EF3710" w:rsidRPr="00EF3710" w:rsidRDefault="00EF3710" w:rsidP="00EF3710">
            <w:pPr>
              <w:spacing w:before="120"/>
              <w:rPr>
                <w:snapToGrid w:val="0"/>
              </w:rPr>
            </w:pPr>
            <w:r w:rsidRPr="00EF3710">
              <w:rPr>
                <w:snapToGrid w:val="0"/>
              </w:rPr>
              <w:t>47.30%</w:t>
            </w:r>
          </w:p>
          <w:p w14:paraId="155FB377" w14:textId="77777777" w:rsidR="00EF3710" w:rsidRPr="00EF3710" w:rsidRDefault="00EF3710" w:rsidP="00EF3710">
            <w:pPr>
              <w:spacing w:before="120"/>
              <w:rPr>
                <w:snapToGrid w:val="0"/>
              </w:rPr>
            </w:pPr>
            <w:r w:rsidRPr="00EF3710">
              <w:rPr>
                <w:snapToGrid w:val="0"/>
              </w:rPr>
              <w:t>52.70%</w:t>
            </w:r>
          </w:p>
        </w:tc>
        <w:tc>
          <w:tcPr>
            <w:tcW w:w="1097" w:type="dxa"/>
            <w:shd w:val="clear" w:color="auto" w:fill="auto"/>
          </w:tcPr>
          <w:p w14:paraId="1374916F" w14:textId="77777777" w:rsidR="00EF3710" w:rsidRPr="00EF3710" w:rsidRDefault="00EF3710" w:rsidP="00EF3710">
            <w:pPr>
              <w:spacing w:before="120"/>
              <w:rPr>
                <w:snapToGrid w:val="0"/>
              </w:rPr>
            </w:pPr>
          </w:p>
          <w:p w14:paraId="79FC0173" w14:textId="77777777" w:rsidR="00EF3710" w:rsidRPr="00EF3710" w:rsidRDefault="00EF3710" w:rsidP="00EF3710">
            <w:pPr>
              <w:spacing w:before="120"/>
              <w:rPr>
                <w:snapToGrid w:val="0"/>
              </w:rPr>
            </w:pPr>
            <w:r w:rsidRPr="00EF3710">
              <w:rPr>
                <w:snapToGrid w:val="0"/>
              </w:rPr>
              <w:t>48.68%</w:t>
            </w:r>
          </w:p>
          <w:p w14:paraId="53D08679" w14:textId="77777777" w:rsidR="00EF3710" w:rsidRPr="00EF3710" w:rsidRDefault="00EF3710" w:rsidP="00EF3710">
            <w:pPr>
              <w:spacing w:before="120"/>
              <w:rPr>
                <w:snapToGrid w:val="0"/>
              </w:rPr>
            </w:pPr>
            <w:r w:rsidRPr="00EF3710">
              <w:rPr>
                <w:snapToGrid w:val="0"/>
              </w:rPr>
              <w:t>51.32%</w:t>
            </w:r>
          </w:p>
        </w:tc>
        <w:tc>
          <w:tcPr>
            <w:tcW w:w="1030" w:type="dxa"/>
            <w:shd w:val="clear" w:color="auto" w:fill="auto"/>
          </w:tcPr>
          <w:p w14:paraId="01C3A6CE" w14:textId="77777777" w:rsidR="00EF3710" w:rsidRPr="00EF3710" w:rsidRDefault="00EF3710" w:rsidP="00EF3710">
            <w:pPr>
              <w:spacing w:before="120"/>
              <w:rPr>
                <w:snapToGrid w:val="0"/>
              </w:rPr>
            </w:pPr>
          </w:p>
          <w:p w14:paraId="49E2CDF4" w14:textId="77777777" w:rsidR="00EF3710" w:rsidRPr="00EF3710" w:rsidRDefault="00EF3710" w:rsidP="00EF3710">
            <w:pPr>
              <w:spacing w:before="120"/>
              <w:rPr>
                <w:snapToGrid w:val="0"/>
              </w:rPr>
            </w:pPr>
            <w:r w:rsidRPr="00EF3710">
              <w:rPr>
                <w:snapToGrid w:val="0"/>
              </w:rPr>
              <w:t>54.90%</w:t>
            </w:r>
          </w:p>
          <w:p w14:paraId="1D03EE6D" w14:textId="77777777" w:rsidR="00EF3710" w:rsidRPr="00EF3710" w:rsidRDefault="00EF3710" w:rsidP="00EF3710">
            <w:pPr>
              <w:spacing w:before="120"/>
              <w:rPr>
                <w:snapToGrid w:val="0"/>
              </w:rPr>
            </w:pPr>
            <w:r w:rsidRPr="00EF3710">
              <w:rPr>
                <w:snapToGrid w:val="0"/>
              </w:rPr>
              <w:t>45.10%</w:t>
            </w:r>
          </w:p>
        </w:tc>
      </w:tr>
      <w:tr w:rsidR="00EF3710" w:rsidRPr="00EF3710" w14:paraId="36AEDB0D" w14:textId="77777777" w:rsidTr="00AD690B">
        <w:tc>
          <w:tcPr>
            <w:tcW w:w="2376" w:type="dxa"/>
            <w:shd w:val="clear" w:color="auto" w:fill="auto"/>
          </w:tcPr>
          <w:p w14:paraId="0433D3C9" w14:textId="77777777" w:rsidR="00EF3710" w:rsidRPr="00EF3710" w:rsidRDefault="00EF3710" w:rsidP="00EF3710">
            <w:pPr>
              <w:spacing w:before="120"/>
              <w:rPr>
                <w:snapToGrid w:val="0"/>
              </w:rPr>
            </w:pPr>
            <w:r w:rsidRPr="00EF3710">
              <w:rPr>
                <w:snapToGrid w:val="0"/>
              </w:rPr>
              <w:t xml:space="preserve">Lower mid-quartile: </w:t>
            </w:r>
          </w:p>
          <w:p w14:paraId="53507F0A" w14:textId="77777777" w:rsidR="00EF3710" w:rsidRPr="00EF3710" w:rsidRDefault="00EF3710" w:rsidP="00EF3710">
            <w:pPr>
              <w:spacing w:before="120"/>
              <w:rPr>
                <w:snapToGrid w:val="0"/>
              </w:rPr>
            </w:pPr>
            <w:r w:rsidRPr="00EF3710">
              <w:rPr>
                <w:snapToGrid w:val="0"/>
              </w:rPr>
              <w:t>men                  women</w:t>
            </w:r>
          </w:p>
        </w:tc>
        <w:tc>
          <w:tcPr>
            <w:tcW w:w="960" w:type="dxa"/>
          </w:tcPr>
          <w:p w14:paraId="5226853D" w14:textId="77777777" w:rsidR="00EF3710" w:rsidRPr="00EF3710" w:rsidRDefault="00EF3710" w:rsidP="00EF3710">
            <w:pPr>
              <w:spacing w:before="120"/>
              <w:rPr>
                <w:b/>
                <w:snapToGrid w:val="0"/>
              </w:rPr>
            </w:pPr>
          </w:p>
          <w:p w14:paraId="2AD25080" w14:textId="77777777" w:rsidR="00EF3710" w:rsidRPr="00EF3710" w:rsidRDefault="00EF3710" w:rsidP="00EF3710">
            <w:pPr>
              <w:spacing w:before="120"/>
              <w:rPr>
                <w:b/>
                <w:snapToGrid w:val="0"/>
              </w:rPr>
            </w:pPr>
            <w:r w:rsidRPr="00EF3710">
              <w:rPr>
                <w:b/>
                <w:snapToGrid w:val="0"/>
              </w:rPr>
              <w:t>41.4%</w:t>
            </w:r>
          </w:p>
          <w:p w14:paraId="61670215" w14:textId="77777777" w:rsidR="00EF3710" w:rsidRPr="00EF3710" w:rsidRDefault="00EF3710" w:rsidP="00EF3710">
            <w:pPr>
              <w:spacing w:before="120"/>
              <w:rPr>
                <w:b/>
                <w:snapToGrid w:val="0"/>
              </w:rPr>
            </w:pPr>
            <w:r w:rsidRPr="00EF3710">
              <w:rPr>
                <w:b/>
                <w:snapToGrid w:val="0"/>
              </w:rPr>
              <w:t>58.6%</w:t>
            </w:r>
          </w:p>
        </w:tc>
        <w:tc>
          <w:tcPr>
            <w:tcW w:w="1101" w:type="dxa"/>
          </w:tcPr>
          <w:p w14:paraId="47C7D9B0" w14:textId="77777777" w:rsidR="00EF3710" w:rsidRPr="00EF3710" w:rsidRDefault="00EF3710" w:rsidP="00EF3710">
            <w:pPr>
              <w:spacing w:before="120"/>
              <w:rPr>
                <w:snapToGrid w:val="0"/>
              </w:rPr>
            </w:pPr>
          </w:p>
          <w:p w14:paraId="58F70AA7" w14:textId="77777777" w:rsidR="00EF3710" w:rsidRPr="00EF3710" w:rsidRDefault="00EF3710" w:rsidP="00EF3710">
            <w:pPr>
              <w:spacing w:before="120"/>
              <w:rPr>
                <w:snapToGrid w:val="0"/>
              </w:rPr>
            </w:pPr>
            <w:r w:rsidRPr="00EF3710">
              <w:rPr>
                <w:snapToGrid w:val="0"/>
              </w:rPr>
              <w:t xml:space="preserve">50.00%   </w:t>
            </w:r>
          </w:p>
          <w:p w14:paraId="1860A115" w14:textId="77777777" w:rsidR="00EF3710" w:rsidRPr="00EF3710" w:rsidRDefault="00EF3710" w:rsidP="00EF3710">
            <w:pPr>
              <w:spacing w:before="120"/>
              <w:rPr>
                <w:snapToGrid w:val="0"/>
              </w:rPr>
            </w:pPr>
            <w:r w:rsidRPr="00EF3710">
              <w:rPr>
                <w:snapToGrid w:val="0"/>
              </w:rPr>
              <w:t>50.00%</w:t>
            </w:r>
          </w:p>
        </w:tc>
        <w:tc>
          <w:tcPr>
            <w:tcW w:w="1097" w:type="dxa"/>
            <w:shd w:val="clear" w:color="auto" w:fill="auto"/>
          </w:tcPr>
          <w:p w14:paraId="4E105222" w14:textId="77777777" w:rsidR="00EF3710" w:rsidRPr="00EF3710" w:rsidRDefault="00EF3710" w:rsidP="00EF3710">
            <w:pPr>
              <w:spacing w:before="120"/>
              <w:rPr>
                <w:snapToGrid w:val="0"/>
              </w:rPr>
            </w:pPr>
          </w:p>
          <w:p w14:paraId="632BC255" w14:textId="77777777" w:rsidR="00EF3710" w:rsidRPr="00EF3710" w:rsidRDefault="00EF3710" w:rsidP="00EF3710">
            <w:pPr>
              <w:spacing w:before="120"/>
              <w:rPr>
                <w:snapToGrid w:val="0"/>
              </w:rPr>
            </w:pPr>
            <w:r w:rsidRPr="00EF3710">
              <w:rPr>
                <w:snapToGrid w:val="0"/>
              </w:rPr>
              <w:t>47.92%</w:t>
            </w:r>
          </w:p>
          <w:p w14:paraId="20CB2ADF" w14:textId="77777777" w:rsidR="00EF3710" w:rsidRPr="00EF3710" w:rsidRDefault="00EF3710" w:rsidP="00EF3710">
            <w:pPr>
              <w:spacing w:before="120"/>
              <w:rPr>
                <w:snapToGrid w:val="0"/>
              </w:rPr>
            </w:pPr>
            <w:r w:rsidRPr="00EF3710">
              <w:rPr>
                <w:snapToGrid w:val="0"/>
              </w:rPr>
              <w:t>52.08%</w:t>
            </w:r>
          </w:p>
        </w:tc>
        <w:tc>
          <w:tcPr>
            <w:tcW w:w="1097" w:type="dxa"/>
            <w:shd w:val="clear" w:color="auto" w:fill="auto"/>
          </w:tcPr>
          <w:p w14:paraId="2D386762" w14:textId="77777777" w:rsidR="00EF3710" w:rsidRPr="00EF3710" w:rsidRDefault="00EF3710" w:rsidP="00EF3710">
            <w:pPr>
              <w:spacing w:before="120"/>
              <w:rPr>
                <w:snapToGrid w:val="0"/>
              </w:rPr>
            </w:pPr>
          </w:p>
          <w:p w14:paraId="67E2E12F" w14:textId="77777777" w:rsidR="00EF3710" w:rsidRPr="00EF3710" w:rsidRDefault="00EF3710" w:rsidP="00EF3710">
            <w:pPr>
              <w:spacing w:before="120"/>
              <w:rPr>
                <w:snapToGrid w:val="0"/>
              </w:rPr>
            </w:pPr>
            <w:r w:rsidRPr="00EF3710">
              <w:rPr>
                <w:snapToGrid w:val="0"/>
              </w:rPr>
              <w:t>56.85%</w:t>
            </w:r>
          </w:p>
          <w:p w14:paraId="05E5A5F7" w14:textId="77777777" w:rsidR="00EF3710" w:rsidRPr="00EF3710" w:rsidRDefault="00EF3710" w:rsidP="00EF3710">
            <w:pPr>
              <w:spacing w:before="120"/>
              <w:rPr>
                <w:snapToGrid w:val="0"/>
              </w:rPr>
            </w:pPr>
            <w:r w:rsidRPr="00EF3710">
              <w:rPr>
                <w:snapToGrid w:val="0"/>
              </w:rPr>
              <w:t>43.15%</w:t>
            </w:r>
          </w:p>
        </w:tc>
        <w:tc>
          <w:tcPr>
            <w:tcW w:w="1097" w:type="dxa"/>
            <w:shd w:val="clear" w:color="auto" w:fill="auto"/>
          </w:tcPr>
          <w:p w14:paraId="561C98B2" w14:textId="77777777" w:rsidR="00EF3710" w:rsidRPr="00EF3710" w:rsidRDefault="00EF3710" w:rsidP="00EF3710">
            <w:pPr>
              <w:spacing w:before="120"/>
              <w:rPr>
                <w:snapToGrid w:val="0"/>
              </w:rPr>
            </w:pPr>
          </w:p>
          <w:p w14:paraId="221AC5B3" w14:textId="77777777" w:rsidR="00EF3710" w:rsidRPr="00EF3710" w:rsidRDefault="00EF3710" w:rsidP="00EF3710">
            <w:pPr>
              <w:spacing w:before="120"/>
              <w:rPr>
                <w:snapToGrid w:val="0"/>
              </w:rPr>
            </w:pPr>
            <w:r w:rsidRPr="00EF3710">
              <w:rPr>
                <w:snapToGrid w:val="0"/>
              </w:rPr>
              <w:t>48.30%</w:t>
            </w:r>
          </w:p>
          <w:p w14:paraId="781F201E" w14:textId="77777777" w:rsidR="00EF3710" w:rsidRPr="00EF3710" w:rsidRDefault="00EF3710" w:rsidP="00EF3710">
            <w:pPr>
              <w:spacing w:before="120"/>
              <w:rPr>
                <w:snapToGrid w:val="0"/>
              </w:rPr>
            </w:pPr>
            <w:r w:rsidRPr="00EF3710">
              <w:rPr>
                <w:snapToGrid w:val="0"/>
              </w:rPr>
              <w:t>51.70%</w:t>
            </w:r>
          </w:p>
        </w:tc>
        <w:tc>
          <w:tcPr>
            <w:tcW w:w="1097" w:type="dxa"/>
            <w:shd w:val="clear" w:color="auto" w:fill="auto"/>
          </w:tcPr>
          <w:p w14:paraId="5D2012A9" w14:textId="77777777" w:rsidR="00EF3710" w:rsidRPr="00EF3710" w:rsidRDefault="00EF3710" w:rsidP="00EF3710">
            <w:pPr>
              <w:spacing w:before="120"/>
              <w:rPr>
                <w:snapToGrid w:val="0"/>
              </w:rPr>
            </w:pPr>
          </w:p>
          <w:p w14:paraId="3278CFA9" w14:textId="77777777" w:rsidR="00EF3710" w:rsidRPr="00EF3710" w:rsidRDefault="00EF3710" w:rsidP="00EF3710">
            <w:pPr>
              <w:spacing w:before="120"/>
              <w:rPr>
                <w:snapToGrid w:val="0"/>
              </w:rPr>
            </w:pPr>
            <w:r w:rsidRPr="00EF3710">
              <w:rPr>
                <w:snapToGrid w:val="0"/>
              </w:rPr>
              <w:t>45.75%</w:t>
            </w:r>
          </w:p>
          <w:p w14:paraId="5FC3604F" w14:textId="77777777" w:rsidR="00EF3710" w:rsidRPr="00EF3710" w:rsidRDefault="00EF3710" w:rsidP="00EF3710">
            <w:pPr>
              <w:spacing w:before="120"/>
              <w:rPr>
                <w:snapToGrid w:val="0"/>
              </w:rPr>
            </w:pPr>
            <w:r w:rsidRPr="00EF3710">
              <w:rPr>
                <w:snapToGrid w:val="0"/>
              </w:rPr>
              <w:t>54.25%</w:t>
            </w:r>
          </w:p>
        </w:tc>
        <w:tc>
          <w:tcPr>
            <w:tcW w:w="1030" w:type="dxa"/>
            <w:shd w:val="clear" w:color="auto" w:fill="auto"/>
          </w:tcPr>
          <w:p w14:paraId="65528F56" w14:textId="77777777" w:rsidR="00EF3710" w:rsidRPr="00EF3710" w:rsidRDefault="00EF3710" w:rsidP="00EF3710">
            <w:pPr>
              <w:spacing w:before="120"/>
              <w:rPr>
                <w:snapToGrid w:val="0"/>
              </w:rPr>
            </w:pPr>
          </w:p>
          <w:p w14:paraId="2B51D1E0" w14:textId="77777777" w:rsidR="00EF3710" w:rsidRPr="00EF3710" w:rsidRDefault="00EF3710" w:rsidP="00EF3710">
            <w:pPr>
              <w:spacing w:before="120"/>
              <w:rPr>
                <w:snapToGrid w:val="0"/>
              </w:rPr>
            </w:pPr>
            <w:r w:rsidRPr="00EF3710">
              <w:rPr>
                <w:snapToGrid w:val="0"/>
              </w:rPr>
              <w:t>45.10%</w:t>
            </w:r>
          </w:p>
          <w:p w14:paraId="7CED4CF9" w14:textId="77777777" w:rsidR="00EF3710" w:rsidRPr="00EF3710" w:rsidRDefault="00EF3710" w:rsidP="00EF3710">
            <w:pPr>
              <w:spacing w:before="120"/>
              <w:rPr>
                <w:snapToGrid w:val="0"/>
              </w:rPr>
            </w:pPr>
            <w:r w:rsidRPr="00EF3710">
              <w:rPr>
                <w:snapToGrid w:val="0"/>
              </w:rPr>
              <w:t>54.90%</w:t>
            </w:r>
          </w:p>
        </w:tc>
      </w:tr>
      <w:tr w:rsidR="00EF3710" w:rsidRPr="00EF3710" w14:paraId="191A21E5" w14:textId="77777777" w:rsidTr="00AD690B">
        <w:tc>
          <w:tcPr>
            <w:tcW w:w="2376" w:type="dxa"/>
            <w:shd w:val="clear" w:color="auto" w:fill="auto"/>
          </w:tcPr>
          <w:p w14:paraId="6D165F75" w14:textId="77777777" w:rsidR="00EF3710" w:rsidRPr="00EF3710" w:rsidRDefault="00EF3710" w:rsidP="00EF3710">
            <w:pPr>
              <w:spacing w:before="120"/>
              <w:rPr>
                <w:snapToGrid w:val="0"/>
              </w:rPr>
            </w:pPr>
            <w:r w:rsidRPr="00EF3710">
              <w:rPr>
                <w:snapToGrid w:val="0"/>
              </w:rPr>
              <w:t xml:space="preserve">Lower quartile:           </w:t>
            </w:r>
          </w:p>
          <w:p w14:paraId="0E58EE43" w14:textId="77777777" w:rsidR="00EF3710" w:rsidRPr="00EF3710" w:rsidRDefault="00EF3710" w:rsidP="00EF3710">
            <w:pPr>
              <w:spacing w:before="120"/>
              <w:rPr>
                <w:snapToGrid w:val="0"/>
              </w:rPr>
            </w:pPr>
            <w:r w:rsidRPr="00EF3710">
              <w:rPr>
                <w:snapToGrid w:val="0"/>
              </w:rPr>
              <w:t>men                                       women</w:t>
            </w:r>
          </w:p>
        </w:tc>
        <w:tc>
          <w:tcPr>
            <w:tcW w:w="960" w:type="dxa"/>
          </w:tcPr>
          <w:p w14:paraId="04B94368" w14:textId="77777777" w:rsidR="00EF3710" w:rsidRPr="00EF3710" w:rsidRDefault="00EF3710" w:rsidP="00EF3710">
            <w:pPr>
              <w:spacing w:before="120"/>
              <w:rPr>
                <w:b/>
                <w:snapToGrid w:val="0"/>
              </w:rPr>
            </w:pPr>
          </w:p>
          <w:p w14:paraId="525B8FB2" w14:textId="77777777" w:rsidR="00EF3710" w:rsidRPr="00EF3710" w:rsidRDefault="00EF3710" w:rsidP="00EF3710">
            <w:pPr>
              <w:spacing w:before="120"/>
              <w:rPr>
                <w:b/>
                <w:snapToGrid w:val="0"/>
              </w:rPr>
            </w:pPr>
            <w:r w:rsidRPr="00EF3710">
              <w:rPr>
                <w:b/>
                <w:snapToGrid w:val="0"/>
              </w:rPr>
              <w:t>47.8%</w:t>
            </w:r>
          </w:p>
          <w:p w14:paraId="1DA4923B" w14:textId="77777777" w:rsidR="00EF3710" w:rsidRPr="00EF3710" w:rsidRDefault="00EF3710" w:rsidP="00EF3710">
            <w:pPr>
              <w:spacing w:before="120"/>
              <w:rPr>
                <w:b/>
                <w:snapToGrid w:val="0"/>
              </w:rPr>
            </w:pPr>
            <w:r w:rsidRPr="00EF3710">
              <w:rPr>
                <w:b/>
                <w:snapToGrid w:val="0"/>
              </w:rPr>
              <w:t>52.2%</w:t>
            </w:r>
          </w:p>
        </w:tc>
        <w:tc>
          <w:tcPr>
            <w:tcW w:w="1101" w:type="dxa"/>
          </w:tcPr>
          <w:p w14:paraId="4D8AB0DB" w14:textId="77777777" w:rsidR="00EF3710" w:rsidRPr="00EF3710" w:rsidRDefault="00EF3710" w:rsidP="00EF3710">
            <w:pPr>
              <w:spacing w:before="120"/>
              <w:rPr>
                <w:snapToGrid w:val="0"/>
              </w:rPr>
            </w:pPr>
          </w:p>
          <w:p w14:paraId="5CAFB014" w14:textId="77777777" w:rsidR="00EF3710" w:rsidRPr="00EF3710" w:rsidRDefault="00EF3710" w:rsidP="00EF3710">
            <w:pPr>
              <w:spacing w:before="120"/>
              <w:rPr>
                <w:snapToGrid w:val="0"/>
              </w:rPr>
            </w:pPr>
            <w:r w:rsidRPr="00EF3710">
              <w:rPr>
                <w:snapToGrid w:val="0"/>
              </w:rPr>
              <w:t>51.13</w:t>
            </w:r>
            <w:proofErr w:type="gramStart"/>
            <w:r w:rsidRPr="00EF3710">
              <w:rPr>
                <w:snapToGrid w:val="0"/>
              </w:rPr>
              <w:t>%  48.76</w:t>
            </w:r>
            <w:proofErr w:type="gramEnd"/>
            <w:r w:rsidRPr="00EF3710">
              <w:rPr>
                <w:snapToGrid w:val="0"/>
              </w:rPr>
              <w:t>%</w:t>
            </w:r>
          </w:p>
        </w:tc>
        <w:tc>
          <w:tcPr>
            <w:tcW w:w="1097" w:type="dxa"/>
            <w:shd w:val="clear" w:color="auto" w:fill="auto"/>
          </w:tcPr>
          <w:p w14:paraId="5B02C608" w14:textId="77777777" w:rsidR="00EF3710" w:rsidRPr="00EF3710" w:rsidRDefault="00EF3710" w:rsidP="00EF3710">
            <w:pPr>
              <w:spacing w:before="120"/>
              <w:rPr>
                <w:snapToGrid w:val="0"/>
              </w:rPr>
            </w:pPr>
          </w:p>
          <w:p w14:paraId="147407C9" w14:textId="77777777" w:rsidR="00EF3710" w:rsidRPr="00EF3710" w:rsidRDefault="00EF3710" w:rsidP="00EF3710">
            <w:pPr>
              <w:spacing w:before="120"/>
              <w:rPr>
                <w:snapToGrid w:val="0"/>
              </w:rPr>
            </w:pPr>
            <w:r w:rsidRPr="00EF3710">
              <w:rPr>
                <w:snapToGrid w:val="0"/>
              </w:rPr>
              <w:t>49.31%</w:t>
            </w:r>
          </w:p>
          <w:p w14:paraId="425B6C8E" w14:textId="77777777" w:rsidR="00EF3710" w:rsidRPr="00EF3710" w:rsidRDefault="00EF3710" w:rsidP="00EF3710">
            <w:pPr>
              <w:spacing w:before="120"/>
              <w:rPr>
                <w:snapToGrid w:val="0"/>
              </w:rPr>
            </w:pPr>
            <w:r w:rsidRPr="00EF3710">
              <w:rPr>
                <w:snapToGrid w:val="0"/>
              </w:rPr>
              <w:t>50.69%</w:t>
            </w:r>
          </w:p>
        </w:tc>
        <w:tc>
          <w:tcPr>
            <w:tcW w:w="1097" w:type="dxa"/>
            <w:shd w:val="clear" w:color="auto" w:fill="auto"/>
          </w:tcPr>
          <w:p w14:paraId="486068D0" w14:textId="77777777" w:rsidR="00EF3710" w:rsidRPr="00EF3710" w:rsidRDefault="00EF3710" w:rsidP="00EF3710">
            <w:pPr>
              <w:spacing w:before="120"/>
              <w:rPr>
                <w:snapToGrid w:val="0"/>
              </w:rPr>
            </w:pPr>
          </w:p>
          <w:p w14:paraId="35A1DC9D" w14:textId="77777777" w:rsidR="00EF3710" w:rsidRPr="00EF3710" w:rsidRDefault="00EF3710" w:rsidP="00EF3710">
            <w:pPr>
              <w:spacing w:before="120"/>
              <w:rPr>
                <w:snapToGrid w:val="0"/>
              </w:rPr>
            </w:pPr>
            <w:r w:rsidRPr="00EF3710">
              <w:rPr>
                <w:snapToGrid w:val="0"/>
              </w:rPr>
              <w:t>49.32%</w:t>
            </w:r>
          </w:p>
          <w:p w14:paraId="1D993FD7" w14:textId="77777777" w:rsidR="00EF3710" w:rsidRPr="00EF3710" w:rsidRDefault="00EF3710" w:rsidP="00EF3710">
            <w:pPr>
              <w:spacing w:before="120"/>
              <w:rPr>
                <w:snapToGrid w:val="0"/>
              </w:rPr>
            </w:pPr>
            <w:r w:rsidRPr="00EF3710">
              <w:rPr>
                <w:snapToGrid w:val="0"/>
              </w:rPr>
              <w:t>50.68%</w:t>
            </w:r>
          </w:p>
        </w:tc>
        <w:tc>
          <w:tcPr>
            <w:tcW w:w="1097" w:type="dxa"/>
            <w:shd w:val="clear" w:color="auto" w:fill="auto"/>
          </w:tcPr>
          <w:p w14:paraId="1B32D58D" w14:textId="77777777" w:rsidR="00EF3710" w:rsidRPr="00EF3710" w:rsidRDefault="00EF3710" w:rsidP="00EF3710">
            <w:pPr>
              <w:spacing w:before="120"/>
              <w:rPr>
                <w:snapToGrid w:val="0"/>
              </w:rPr>
            </w:pPr>
          </w:p>
          <w:p w14:paraId="08374FC7" w14:textId="77777777" w:rsidR="00EF3710" w:rsidRPr="00EF3710" w:rsidRDefault="00EF3710" w:rsidP="00EF3710">
            <w:pPr>
              <w:spacing w:before="120"/>
              <w:rPr>
                <w:snapToGrid w:val="0"/>
              </w:rPr>
            </w:pPr>
            <w:r w:rsidRPr="00EF3710">
              <w:rPr>
                <w:snapToGrid w:val="0"/>
              </w:rPr>
              <w:t>49.32%</w:t>
            </w:r>
          </w:p>
          <w:p w14:paraId="4CFC38B1" w14:textId="77777777" w:rsidR="00EF3710" w:rsidRPr="00EF3710" w:rsidRDefault="00EF3710" w:rsidP="00EF3710">
            <w:pPr>
              <w:spacing w:before="120"/>
              <w:rPr>
                <w:snapToGrid w:val="0"/>
              </w:rPr>
            </w:pPr>
            <w:r w:rsidRPr="00EF3710">
              <w:rPr>
                <w:snapToGrid w:val="0"/>
              </w:rPr>
              <w:t>50.68%</w:t>
            </w:r>
          </w:p>
        </w:tc>
        <w:tc>
          <w:tcPr>
            <w:tcW w:w="1097" w:type="dxa"/>
            <w:shd w:val="clear" w:color="auto" w:fill="auto"/>
          </w:tcPr>
          <w:p w14:paraId="0317CF5F" w14:textId="77777777" w:rsidR="00EF3710" w:rsidRPr="00EF3710" w:rsidRDefault="00EF3710" w:rsidP="00EF3710">
            <w:pPr>
              <w:spacing w:before="120"/>
              <w:rPr>
                <w:snapToGrid w:val="0"/>
              </w:rPr>
            </w:pPr>
          </w:p>
          <w:p w14:paraId="437B26A9" w14:textId="77777777" w:rsidR="00EF3710" w:rsidRPr="00EF3710" w:rsidRDefault="00EF3710" w:rsidP="00EF3710">
            <w:pPr>
              <w:spacing w:before="120"/>
              <w:rPr>
                <w:snapToGrid w:val="0"/>
              </w:rPr>
            </w:pPr>
            <w:r w:rsidRPr="00EF3710">
              <w:rPr>
                <w:snapToGrid w:val="0"/>
              </w:rPr>
              <w:t>44.74%</w:t>
            </w:r>
          </w:p>
          <w:p w14:paraId="6686EF3F" w14:textId="77777777" w:rsidR="00EF3710" w:rsidRPr="00EF3710" w:rsidRDefault="00EF3710" w:rsidP="00EF3710">
            <w:pPr>
              <w:spacing w:before="120"/>
              <w:rPr>
                <w:snapToGrid w:val="0"/>
              </w:rPr>
            </w:pPr>
            <w:r w:rsidRPr="00EF3710">
              <w:rPr>
                <w:snapToGrid w:val="0"/>
              </w:rPr>
              <w:t>55.26%</w:t>
            </w:r>
          </w:p>
        </w:tc>
        <w:tc>
          <w:tcPr>
            <w:tcW w:w="1030" w:type="dxa"/>
            <w:shd w:val="clear" w:color="auto" w:fill="auto"/>
          </w:tcPr>
          <w:p w14:paraId="61952A2A" w14:textId="77777777" w:rsidR="00EF3710" w:rsidRPr="00EF3710" w:rsidRDefault="00EF3710" w:rsidP="00EF3710">
            <w:pPr>
              <w:spacing w:before="120"/>
              <w:rPr>
                <w:snapToGrid w:val="0"/>
              </w:rPr>
            </w:pPr>
          </w:p>
          <w:p w14:paraId="327F64C6" w14:textId="77777777" w:rsidR="00EF3710" w:rsidRPr="00EF3710" w:rsidRDefault="00EF3710" w:rsidP="00EF3710">
            <w:pPr>
              <w:spacing w:before="120"/>
              <w:rPr>
                <w:snapToGrid w:val="0"/>
              </w:rPr>
            </w:pPr>
            <w:r w:rsidRPr="00EF3710">
              <w:rPr>
                <w:snapToGrid w:val="0"/>
              </w:rPr>
              <w:t>48.37%</w:t>
            </w:r>
          </w:p>
          <w:p w14:paraId="5C49DFC3" w14:textId="77777777" w:rsidR="00EF3710" w:rsidRPr="00EF3710" w:rsidRDefault="00EF3710" w:rsidP="00EF3710">
            <w:pPr>
              <w:spacing w:before="120"/>
              <w:rPr>
                <w:snapToGrid w:val="0"/>
              </w:rPr>
            </w:pPr>
            <w:r w:rsidRPr="00EF3710">
              <w:rPr>
                <w:snapToGrid w:val="0"/>
              </w:rPr>
              <w:t>51.63%</w:t>
            </w:r>
          </w:p>
        </w:tc>
      </w:tr>
    </w:tbl>
    <w:p w14:paraId="19AC4710" w14:textId="62F2DDA3" w:rsidR="00DB1F3A" w:rsidRPr="00DB1F3A" w:rsidRDefault="00DB1F3A" w:rsidP="00DB1F3A">
      <w:pPr>
        <w:spacing w:before="120"/>
        <w:rPr>
          <w:snapToGrid w:val="0"/>
        </w:rPr>
      </w:pPr>
      <w:r w:rsidRPr="00DB1F3A">
        <w:rPr>
          <w:snapToGrid w:val="0"/>
        </w:rPr>
        <w:tab/>
      </w:r>
      <w:r w:rsidRPr="00DB1F3A">
        <w:rPr>
          <w:snapToGrid w:val="0"/>
        </w:rPr>
        <w:tab/>
      </w:r>
      <w:r w:rsidRPr="00DB1F3A">
        <w:rPr>
          <w:snapToGrid w:val="0"/>
        </w:rPr>
        <w:tab/>
      </w:r>
      <w:r w:rsidRPr="00DB1F3A">
        <w:rPr>
          <w:snapToGrid w:val="0"/>
        </w:rPr>
        <w:tab/>
        <w:t xml:space="preserve"> </w:t>
      </w:r>
    </w:p>
    <w:p w14:paraId="2859BDF2" w14:textId="77777777" w:rsidR="00406EF3" w:rsidRPr="00406EF3" w:rsidRDefault="00406EF3" w:rsidP="00406EF3">
      <w:pPr>
        <w:spacing w:before="120"/>
        <w:rPr>
          <w:snapToGrid w:val="0"/>
        </w:rPr>
      </w:pPr>
      <w:r w:rsidRPr="00406EF3">
        <w:rPr>
          <w:snapToGrid w:val="0"/>
        </w:rPr>
        <w:t>* A minus figure indicates that the median pay for women is higher than it is for men</w:t>
      </w:r>
    </w:p>
    <w:p w14:paraId="15D8AF74" w14:textId="77777777" w:rsidR="00406EF3" w:rsidRPr="00406EF3" w:rsidRDefault="00406EF3" w:rsidP="00406EF3">
      <w:pPr>
        <w:rPr>
          <w:snapToGrid w:val="0"/>
        </w:rPr>
      </w:pPr>
      <w:r w:rsidRPr="00406EF3">
        <w:rPr>
          <w:snapToGrid w:val="0"/>
        </w:rPr>
        <w:t xml:space="preserve">** For the purpose of reporting, market supplement payments are included as “bonus </w:t>
      </w:r>
      <w:proofErr w:type="gramStart"/>
      <w:r w:rsidRPr="00406EF3">
        <w:rPr>
          <w:snapToGrid w:val="0"/>
        </w:rPr>
        <w:t>payments”</w:t>
      </w:r>
      <w:proofErr w:type="gramEnd"/>
    </w:p>
    <w:p w14:paraId="4D15E686" w14:textId="77777777" w:rsidR="00DB1F3A" w:rsidRPr="00DB1F3A" w:rsidRDefault="00DB1F3A" w:rsidP="00DB1F3A">
      <w:pPr>
        <w:rPr>
          <w:snapToGrid w:val="0"/>
        </w:rPr>
      </w:pPr>
    </w:p>
    <w:p w14:paraId="5C39703B" w14:textId="77777777" w:rsidR="00DB1F3A" w:rsidRPr="00DB1F3A" w:rsidRDefault="00DB1F3A" w:rsidP="00DB1F3A">
      <w:pPr>
        <w:rPr>
          <w:snapToGrid w:val="0"/>
        </w:rPr>
      </w:pPr>
    </w:p>
    <w:p w14:paraId="22936133" w14:textId="77777777" w:rsidR="00DB1F3A" w:rsidRDefault="00DB1F3A" w:rsidP="00DB1F3A">
      <w:pPr>
        <w:rPr>
          <w:b/>
          <w:snapToGrid w:val="0"/>
        </w:rPr>
      </w:pPr>
      <w:r w:rsidRPr="00DB1F3A">
        <w:rPr>
          <w:b/>
          <w:snapToGrid w:val="0"/>
        </w:rPr>
        <w:t>Narrative</w:t>
      </w:r>
    </w:p>
    <w:p w14:paraId="4A606F82" w14:textId="77777777" w:rsidR="00EF3710" w:rsidRPr="00EF3710" w:rsidRDefault="00EF3710" w:rsidP="00EF3710">
      <w:pPr>
        <w:rPr>
          <w:snapToGrid w:val="0"/>
        </w:rPr>
      </w:pPr>
      <w:r w:rsidRPr="00EF3710">
        <w:rPr>
          <w:snapToGrid w:val="0"/>
        </w:rPr>
        <w:t xml:space="preserve">In summary, the gender pay gap remains low and is easily within the parameters that might be expected for similar public sector organisations. </w:t>
      </w:r>
    </w:p>
    <w:p w14:paraId="70A29DCC" w14:textId="77777777" w:rsidR="00EF3710" w:rsidRPr="00EF3710" w:rsidRDefault="00EF3710" w:rsidP="00EF3710">
      <w:pPr>
        <w:rPr>
          <w:snapToGrid w:val="0"/>
        </w:rPr>
      </w:pPr>
    </w:p>
    <w:p w14:paraId="298C9791" w14:textId="77777777" w:rsidR="00EF3710" w:rsidRPr="00EF3710" w:rsidRDefault="00EF3710" w:rsidP="00EF3710">
      <w:pPr>
        <w:rPr>
          <w:snapToGrid w:val="0"/>
        </w:rPr>
      </w:pPr>
      <w:r w:rsidRPr="00EF3710">
        <w:rPr>
          <w:snapToGrid w:val="0"/>
        </w:rPr>
        <w:t xml:space="preserve">The quartile distribution is well-balanced in the upper quartile although staffing changes over the year has led to a reversal in profile in the upper mid-quartile with the proportion of men now being slightly higher than women for the first time in five years. </w:t>
      </w:r>
    </w:p>
    <w:p w14:paraId="119F6447" w14:textId="77777777" w:rsidR="00EF3710" w:rsidRPr="00EF3710" w:rsidRDefault="00EF3710" w:rsidP="00EF3710">
      <w:pPr>
        <w:rPr>
          <w:snapToGrid w:val="0"/>
        </w:rPr>
      </w:pPr>
    </w:p>
    <w:p w14:paraId="2AD6C007" w14:textId="77777777" w:rsidR="00EF3710" w:rsidRPr="00EF3710" w:rsidRDefault="00EF3710" w:rsidP="00EF3710">
      <w:pPr>
        <w:rPr>
          <w:snapToGrid w:val="0"/>
        </w:rPr>
      </w:pPr>
      <w:r w:rsidRPr="00EF3710">
        <w:rPr>
          <w:snapToGrid w:val="0"/>
        </w:rPr>
        <w:t xml:space="preserve">Women are now also represented as a greater proportion in </w:t>
      </w:r>
      <w:proofErr w:type="gramStart"/>
      <w:r w:rsidRPr="00EF3710">
        <w:rPr>
          <w:snapToGrid w:val="0"/>
        </w:rPr>
        <w:t>both of the lower</w:t>
      </w:r>
      <w:proofErr w:type="gramEnd"/>
      <w:r w:rsidRPr="00EF3710">
        <w:rPr>
          <w:snapToGrid w:val="0"/>
        </w:rPr>
        <w:t xml:space="preserve"> quartiles.</w:t>
      </w:r>
    </w:p>
    <w:p w14:paraId="0B9183EB" w14:textId="77777777" w:rsidR="00EF3710" w:rsidRPr="00EF3710" w:rsidRDefault="00EF3710" w:rsidP="00EF3710">
      <w:pPr>
        <w:rPr>
          <w:snapToGrid w:val="0"/>
        </w:rPr>
      </w:pPr>
    </w:p>
    <w:p w14:paraId="687E8AC3" w14:textId="77777777" w:rsidR="00EF3710" w:rsidRPr="00EF3710" w:rsidRDefault="00EF3710" w:rsidP="00EF3710">
      <w:pPr>
        <w:rPr>
          <w:snapToGrid w:val="0"/>
        </w:rPr>
      </w:pPr>
      <w:r w:rsidRPr="00EF3710">
        <w:rPr>
          <w:snapToGrid w:val="0"/>
        </w:rPr>
        <w:t xml:space="preserve">The overall median pay gap is now at its greatest since the start of data production. More men earn at or above the median than women. This may be due in a large part due to the recent structural reviews in Environmental Services in which </w:t>
      </w:r>
      <w:proofErr w:type="gramStart"/>
      <w:r w:rsidRPr="00EF3710">
        <w:rPr>
          <w:snapToGrid w:val="0"/>
        </w:rPr>
        <w:t>a large number of</w:t>
      </w:r>
      <w:proofErr w:type="gramEnd"/>
      <w:r w:rsidRPr="00EF3710">
        <w:rPr>
          <w:snapToGrid w:val="0"/>
        </w:rPr>
        <w:t xml:space="preserve"> posts, mainly in posts predominantly held by men, have been reviewed in terms of content and consequently grade (pay).</w:t>
      </w:r>
    </w:p>
    <w:p w14:paraId="599E441D" w14:textId="77777777" w:rsidR="00EF3710" w:rsidRPr="00EF3710" w:rsidRDefault="00EF3710" w:rsidP="00EF3710">
      <w:pPr>
        <w:rPr>
          <w:snapToGrid w:val="0"/>
        </w:rPr>
      </w:pPr>
    </w:p>
    <w:p w14:paraId="27A7EE3E" w14:textId="77777777" w:rsidR="00EF3710" w:rsidRPr="00EF3710" w:rsidRDefault="00EF3710" w:rsidP="00EF3710">
      <w:pPr>
        <w:rPr>
          <w:snapToGrid w:val="0"/>
        </w:rPr>
      </w:pPr>
      <w:r w:rsidRPr="00EF3710">
        <w:rPr>
          <w:snapToGrid w:val="0"/>
        </w:rPr>
        <w:t xml:space="preserve">The fact that the overall mean gender pay gap remains low suggests that when taken as a whole, the average (mean) pay for female employees is </w:t>
      </w:r>
      <w:proofErr w:type="gramStart"/>
      <w:r w:rsidRPr="00EF3710">
        <w:rPr>
          <w:snapToGrid w:val="0"/>
        </w:rPr>
        <w:t>similar to</w:t>
      </w:r>
      <w:proofErr w:type="gramEnd"/>
      <w:r w:rsidRPr="00EF3710">
        <w:rPr>
          <w:snapToGrid w:val="0"/>
        </w:rPr>
        <w:t xml:space="preserve"> that of pay for male employees. The proportion of women in better-paid jobs does then seem to be healthy. </w:t>
      </w:r>
    </w:p>
    <w:p w14:paraId="706B94F7" w14:textId="77777777" w:rsidR="00EF3710" w:rsidRPr="00EF3710" w:rsidRDefault="00EF3710" w:rsidP="00EF3710">
      <w:pPr>
        <w:rPr>
          <w:snapToGrid w:val="0"/>
        </w:rPr>
      </w:pPr>
    </w:p>
    <w:p w14:paraId="6A3EBCC4" w14:textId="77777777" w:rsidR="00EF3710" w:rsidRPr="00EF3710" w:rsidRDefault="00EF3710" w:rsidP="00EF3710">
      <w:pPr>
        <w:rPr>
          <w:snapToGrid w:val="0"/>
        </w:rPr>
      </w:pPr>
      <w:r w:rsidRPr="00EF3710">
        <w:rPr>
          <w:snapToGrid w:val="0"/>
        </w:rPr>
        <w:t xml:space="preserve">Although the data contained within the analysis is not a matter of concern, the organisation will continue to be aware of the need to aspire to a gender-neutral state in terms of both mean and median pay differential. </w:t>
      </w:r>
    </w:p>
    <w:p w14:paraId="03DCA0EB" w14:textId="77777777" w:rsidR="00EF3710" w:rsidRPr="00EF3710" w:rsidRDefault="00EF3710" w:rsidP="00EF3710">
      <w:pPr>
        <w:rPr>
          <w:snapToGrid w:val="0"/>
        </w:rPr>
      </w:pPr>
    </w:p>
    <w:p w14:paraId="4216188F" w14:textId="77777777" w:rsidR="00EF3710" w:rsidRPr="00EF3710" w:rsidRDefault="00EF3710" w:rsidP="00EF3710">
      <w:pPr>
        <w:rPr>
          <w:snapToGrid w:val="0"/>
        </w:rPr>
      </w:pPr>
      <w:r w:rsidRPr="00EF3710">
        <w:rPr>
          <w:snapToGrid w:val="0"/>
        </w:rPr>
        <w:t xml:space="preserve">Although the mean percentage gender pay gap for bonus payments (market supplement payments) does strongly favour men, the median bonus gender pay gap strongly favours women. The percentages though are </w:t>
      </w:r>
      <w:proofErr w:type="gramStart"/>
      <w:r w:rsidRPr="00EF3710">
        <w:rPr>
          <w:snapToGrid w:val="0"/>
        </w:rPr>
        <w:t>fairly meaningless</w:t>
      </w:r>
      <w:proofErr w:type="gramEnd"/>
      <w:r w:rsidRPr="00EF3710">
        <w:rPr>
          <w:snapToGrid w:val="0"/>
        </w:rPr>
        <w:t xml:space="preserve"> due to the very small sample size; (three employees; one woman, two men). This small sample has skewed the statistics. Should market premia be used more due to the financial pressures that may be present due to the very competitive labour market then the equality impact of such “bonus” payments will need to be considered. </w:t>
      </w:r>
    </w:p>
    <w:p w14:paraId="64B900D6" w14:textId="77777777" w:rsidR="00EF3710" w:rsidRPr="00EF3710" w:rsidRDefault="00EF3710" w:rsidP="00EF3710">
      <w:pPr>
        <w:rPr>
          <w:snapToGrid w:val="0"/>
        </w:rPr>
      </w:pPr>
    </w:p>
    <w:p w14:paraId="2861F83F" w14:textId="77777777" w:rsidR="00EF3710" w:rsidRPr="00EF3710" w:rsidRDefault="00EF3710" w:rsidP="00EF3710">
      <w:pPr>
        <w:rPr>
          <w:snapToGrid w:val="0"/>
        </w:rPr>
      </w:pPr>
      <w:r w:rsidRPr="00EF3710">
        <w:rPr>
          <w:snapToGrid w:val="0"/>
        </w:rPr>
        <w:t xml:space="preserve">The organisation considers itself to be caring and recognises the complex needs of its employees through the practical application of supportive working practices.  Practical measures to support such statements include the adoption of flexible working arrangements implemented through its employment policies.  Other policies have also been introduced to support women in the workplace such as the “Menopause in the Workplace Policy”. The Equality Policy (Employment) was also reviewed in early 2021 and the Fostering-friendly Policy was introduced towards the end of 2022. This year the Council’s Equality, Diversity and Inclusion corporate training programme has been launched with the full roll-out due in 2023-24. </w:t>
      </w:r>
    </w:p>
    <w:p w14:paraId="517D4EF2" w14:textId="77777777" w:rsidR="00EF3710" w:rsidRPr="00EF3710" w:rsidRDefault="00EF3710" w:rsidP="00EF3710">
      <w:pPr>
        <w:rPr>
          <w:snapToGrid w:val="0"/>
        </w:rPr>
      </w:pPr>
    </w:p>
    <w:p w14:paraId="16E78184" w14:textId="4F4A6D62" w:rsidR="00EF3710" w:rsidRPr="00DB1F3A" w:rsidRDefault="00EF3710" w:rsidP="00EF3710">
      <w:pPr>
        <w:rPr>
          <w:b/>
          <w:snapToGrid w:val="0"/>
        </w:rPr>
      </w:pPr>
      <w:r w:rsidRPr="00EF3710">
        <w:rPr>
          <w:snapToGrid w:val="0"/>
        </w:rPr>
        <w:t xml:space="preserve">Although the organisation does not yet have a neutral mean gender pay gap, the gap continues to remain low relative to many other businesses. This positive position reflects the organisation that we aspire to </w:t>
      </w:r>
      <w:proofErr w:type="gramStart"/>
      <w:r w:rsidRPr="00EF3710">
        <w:rPr>
          <w:snapToGrid w:val="0"/>
        </w:rPr>
        <w:t>be;</w:t>
      </w:r>
      <w:proofErr w:type="gramEnd"/>
      <w:r w:rsidRPr="00EF3710">
        <w:rPr>
          <w:snapToGrid w:val="0"/>
        </w:rPr>
        <w:t xml:space="preserve"> a fair place to work and one in which supportive employment policies go hand-in-hand with an established and transparent job evaluation scheme. A risk to the ability to further improve the mean gender pay gap is that the organisation is relatively small and the change in occupation of a few of the Council’s most senior posts could have a material effect on the outturn. A watching brief will be maintained each </w:t>
      </w:r>
      <w:proofErr w:type="gramStart"/>
      <w:r w:rsidRPr="00EF3710">
        <w:rPr>
          <w:snapToGrid w:val="0"/>
        </w:rPr>
        <w:t>year</w:t>
      </w:r>
      <w:proofErr w:type="gramEnd"/>
      <w:r w:rsidRPr="00EF3710">
        <w:rPr>
          <w:snapToGrid w:val="0"/>
        </w:rPr>
        <w:t xml:space="preserve"> and should the outturn worsen to a point of concern then an appropriate action plan will be identified.   </w:t>
      </w:r>
    </w:p>
    <w:p w14:paraId="1480EF4A" w14:textId="77777777" w:rsidR="00EF3710" w:rsidRDefault="00EF3710">
      <w:r>
        <w:br w:type="page"/>
      </w:r>
    </w:p>
    <w:p w14:paraId="56E5E6AE" w14:textId="7B4B5821" w:rsidR="00464CF9" w:rsidRDefault="00464CF9" w:rsidP="00832281">
      <w:pPr>
        <w:jc w:val="right"/>
      </w:pPr>
      <w:r>
        <w:t xml:space="preserve">Appendix </w:t>
      </w:r>
      <w:proofErr w:type="spellStart"/>
      <w:r w:rsidRPr="009D6FB9">
        <w:t>i</w:t>
      </w:r>
      <w:proofErr w:type="spellEnd"/>
    </w:p>
    <w:p w14:paraId="4CCF88D6" w14:textId="77777777" w:rsidR="00464CF9" w:rsidRDefault="00464CF9" w:rsidP="001A57CF">
      <w:pPr>
        <w:jc w:val="right"/>
      </w:pPr>
    </w:p>
    <w:p w14:paraId="50C15B99" w14:textId="77777777" w:rsidR="00464CF9" w:rsidRPr="00240B0C" w:rsidRDefault="00464CF9" w:rsidP="00464CF9">
      <w:pPr>
        <w:pStyle w:val="Heading1"/>
        <w:rPr>
          <w:sz w:val="28"/>
          <w:szCs w:val="28"/>
        </w:rPr>
      </w:pPr>
      <w:r w:rsidRPr="00240B0C">
        <w:rPr>
          <w:sz w:val="28"/>
          <w:szCs w:val="28"/>
        </w:rPr>
        <w:t>Pay Policy</w:t>
      </w:r>
      <w:r w:rsidR="008F6A10" w:rsidRPr="00240B0C">
        <w:rPr>
          <w:sz w:val="28"/>
          <w:szCs w:val="28"/>
        </w:rPr>
        <w:t xml:space="preserve"> </w:t>
      </w:r>
      <w:r w:rsidRPr="00240B0C">
        <w:rPr>
          <w:sz w:val="28"/>
          <w:szCs w:val="28"/>
        </w:rPr>
        <w:t>– Single Status Employees</w:t>
      </w:r>
    </w:p>
    <w:p w14:paraId="24E3DEF7" w14:textId="77777777" w:rsidR="00464CF9" w:rsidRPr="00464CF9" w:rsidRDefault="00464CF9" w:rsidP="00464CF9">
      <w:pPr>
        <w:pStyle w:val="Heading2"/>
        <w:rPr>
          <w:rFonts w:ascii="Arial" w:hAnsi="Arial" w:cs="Arial"/>
          <w:i w:val="0"/>
          <w:sz w:val="24"/>
          <w:szCs w:val="24"/>
        </w:rPr>
      </w:pPr>
      <w:r w:rsidRPr="00464CF9">
        <w:rPr>
          <w:rFonts w:ascii="Arial" w:hAnsi="Arial" w:cs="Arial"/>
          <w:i w:val="0"/>
          <w:sz w:val="24"/>
          <w:szCs w:val="24"/>
        </w:rPr>
        <w:t>1.  Purpose of Policy</w:t>
      </w:r>
    </w:p>
    <w:p w14:paraId="54ED702A" w14:textId="77777777" w:rsidR="00464CF9" w:rsidRPr="00464CF9" w:rsidRDefault="00464CF9" w:rsidP="00464CF9">
      <w:pPr>
        <w:rPr>
          <w:rFonts w:cs="Arial"/>
          <w:szCs w:val="24"/>
        </w:rPr>
      </w:pPr>
      <w:r w:rsidRPr="00464CF9">
        <w:rPr>
          <w:rFonts w:cs="Arial"/>
          <w:szCs w:val="24"/>
        </w:rPr>
        <w:t>To establish the principles and arrangements for pay for all employees in the Authority linked to the job evaluation of all posts.</w:t>
      </w:r>
    </w:p>
    <w:p w14:paraId="33F4CB35" w14:textId="77777777" w:rsidR="00464CF9" w:rsidRPr="00464CF9" w:rsidRDefault="00464CF9" w:rsidP="00464CF9">
      <w:pPr>
        <w:rPr>
          <w:rFonts w:cs="Arial"/>
          <w:szCs w:val="24"/>
        </w:rPr>
      </w:pPr>
    </w:p>
    <w:p w14:paraId="512482D3" w14:textId="77777777" w:rsidR="00464CF9" w:rsidRPr="00464CF9" w:rsidRDefault="00464CF9" w:rsidP="00464CF9">
      <w:pPr>
        <w:pStyle w:val="Heading2"/>
        <w:rPr>
          <w:rFonts w:ascii="Arial" w:hAnsi="Arial" w:cs="Arial"/>
          <w:i w:val="0"/>
          <w:sz w:val="24"/>
          <w:szCs w:val="24"/>
        </w:rPr>
      </w:pPr>
      <w:r w:rsidRPr="00464CF9">
        <w:rPr>
          <w:rFonts w:ascii="Arial" w:hAnsi="Arial" w:cs="Arial"/>
          <w:i w:val="0"/>
          <w:sz w:val="24"/>
          <w:szCs w:val="24"/>
        </w:rPr>
        <w:t>2.  Objectives</w:t>
      </w:r>
    </w:p>
    <w:p w14:paraId="00BBB8F0" w14:textId="77777777" w:rsidR="00464CF9" w:rsidRPr="00464CF9" w:rsidRDefault="00464CF9" w:rsidP="00D32888">
      <w:pPr>
        <w:numPr>
          <w:ilvl w:val="0"/>
          <w:numId w:val="6"/>
        </w:numPr>
        <w:tabs>
          <w:tab w:val="clear" w:pos="360"/>
          <w:tab w:val="num" w:pos="720"/>
        </w:tabs>
        <w:ind w:left="720"/>
        <w:rPr>
          <w:rFonts w:cs="Arial"/>
          <w:szCs w:val="24"/>
        </w:rPr>
      </w:pPr>
      <w:r w:rsidRPr="00464CF9">
        <w:rPr>
          <w:rFonts w:cs="Arial"/>
          <w:szCs w:val="24"/>
        </w:rPr>
        <w:t>To ensure all pay arrangements reflect equal pay for work of equal value.</w:t>
      </w:r>
    </w:p>
    <w:p w14:paraId="3CB29253" w14:textId="77777777" w:rsidR="00464CF9" w:rsidRPr="00464CF9" w:rsidRDefault="00464CF9" w:rsidP="00D32888">
      <w:pPr>
        <w:numPr>
          <w:ilvl w:val="0"/>
          <w:numId w:val="6"/>
        </w:numPr>
        <w:tabs>
          <w:tab w:val="clear" w:pos="360"/>
          <w:tab w:val="num" w:pos="720"/>
        </w:tabs>
        <w:ind w:left="720"/>
        <w:rPr>
          <w:rFonts w:cs="Arial"/>
          <w:szCs w:val="24"/>
        </w:rPr>
      </w:pPr>
      <w:r w:rsidRPr="00464CF9">
        <w:rPr>
          <w:rFonts w:cs="Arial"/>
          <w:szCs w:val="24"/>
        </w:rPr>
        <w:t>To establish clear and consistent approaches to pay.</w:t>
      </w:r>
    </w:p>
    <w:p w14:paraId="29A44A67" w14:textId="77777777" w:rsidR="00464CF9" w:rsidRPr="00464CF9" w:rsidRDefault="00464CF9" w:rsidP="00D32888">
      <w:pPr>
        <w:numPr>
          <w:ilvl w:val="0"/>
          <w:numId w:val="6"/>
        </w:numPr>
        <w:tabs>
          <w:tab w:val="clear" w:pos="360"/>
          <w:tab w:val="num" w:pos="720"/>
        </w:tabs>
        <w:ind w:left="720"/>
        <w:rPr>
          <w:rFonts w:cs="Arial"/>
          <w:szCs w:val="24"/>
        </w:rPr>
      </w:pPr>
      <w:r w:rsidRPr="00464CF9">
        <w:rPr>
          <w:rFonts w:cs="Arial"/>
          <w:szCs w:val="24"/>
        </w:rPr>
        <w:t>To reflect how employees develop in skills and knowledge within a job.</w:t>
      </w:r>
    </w:p>
    <w:p w14:paraId="1EC724F7" w14:textId="77777777" w:rsidR="00464CF9" w:rsidRPr="00464CF9" w:rsidRDefault="00464CF9" w:rsidP="00D32888">
      <w:pPr>
        <w:numPr>
          <w:ilvl w:val="0"/>
          <w:numId w:val="6"/>
        </w:numPr>
        <w:tabs>
          <w:tab w:val="clear" w:pos="360"/>
          <w:tab w:val="num" w:pos="720"/>
        </w:tabs>
        <w:ind w:left="720"/>
        <w:rPr>
          <w:rFonts w:cs="Arial"/>
          <w:szCs w:val="24"/>
        </w:rPr>
      </w:pPr>
      <w:r w:rsidRPr="00464CF9">
        <w:rPr>
          <w:rFonts w:cs="Arial"/>
          <w:szCs w:val="24"/>
        </w:rPr>
        <w:t>To provide a basis for establishing the grading system in relation to job evaluation.</w:t>
      </w:r>
    </w:p>
    <w:p w14:paraId="58E1DF83" w14:textId="77777777" w:rsidR="00464CF9" w:rsidRPr="00464CF9" w:rsidRDefault="00464CF9" w:rsidP="00464CF9">
      <w:pPr>
        <w:ind w:left="360"/>
        <w:rPr>
          <w:rFonts w:cs="Arial"/>
          <w:szCs w:val="24"/>
        </w:rPr>
      </w:pPr>
    </w:p>
    <w:p w14:paraId="6C487EE0" w14:textId="77777777" w:rsidR="00464CF9" w:rsidRPr="00464CF9" w:rsidRDefault="00464CF9" w:rsidP="00464CF9">
      <w:pPr>
        <w:pStyle w:val="Heading2"/>
        <w:rPr>
          <w:rFonts w:ascii="Arial" w:hAnsi="Arial" w:cs="Arial"/>
          <w:i w:val="0"/>
          <w:sz w:val="24"/>
          <w:szCs w:val="24"/>
        </w:rPr>
      </w:pPr>
      <w:r w:rsidRPr="00464CF9">
        <w:rPr>
          <w:rFonts w:ascii="Arial" w:hAnsi="Arial" w:cs="Arial"/>
          <w:i w:val="0"/>
          <w:sz w:val="24"/>
          <w:szCs w:val="24"/>
        </w:rPr>
        <w:t>3.  Pay Points</w:t>
      </w:r>
    </w:p>
    <w:p w14:paraId="343852DC" w14:textId="38255040" w:rsidR="00464CF9" w:rsidRPr="00464CF9" w:rsidRDefault="00464CF9" w:rsidP="00464CF9">
      <w:pPr>
        <w:rPr>
          <w:rFonts w:cs="Arial"/>
          <w:szCs w:val="24"/>
        </w:rPr>
      </w:pPr>
      <w:r w:rsidRPr="00464CF9">
        <w:rPr>
          <w:rFonts w:cs="Arial"/>
          <w:szCs w:val="24"/>
        </w:rPr>
        <w:t xml:space="preserve">The pay points for all employees covered by the single status agreement will be nationally agreed </w:t>
      </w:r>
      <w:r w:rsidR="008F1576">
        <w:rPr>
          <w:rFonts w:cs="Arial"/>
          <w:szCs w:val="24"/>
        </w:rPr>
        <w:t xml:space="preserve">pay </w:t>
      </w:r>
      <w:r w:rsidRPr="00464CF9">
        <w:rPr>
          <w:rFonts w:cs="Arial"/>
          <w:szCs w:val="24"/>
        </w:rPr>
        <w:t xml:space="preserve">points.  In the final grading </w:t>
      </w:r>
      <w:proofErr w:type="gramStart"/>
      <w:r w:rsidRPr="00464CF9">
        <w:rPr>
          <w:rFonts w:cs="Arial"/>
          <w:szCs w:val="24"/>
        </w:rPr>
        <w:t>structure</w:t>
      </w:r>
      <w:proofErr w:type="gramEnd"/>
      <w:r w:rsidRPr="00464CF9">
        <w:rPr>
          <w:rFonts w:cs="Arial"/>
          <w:szCs w:val="24"/>
        </w:rPr>
        <w:t xml:space="preserve"> it is possible that not all of the points will be utilised.  If necessary local points will be developed within the single status pay and grading structure</w:t>
      </w:r>
      <w:r w:rsidR="003C766C">
        <w:rPr>
          <w:rFonts w:cs="Arial"/>
          <w:szCs w:val="24"/>
        </w:rPr>
        <w:t xml:space="preserve"> </w:t>
      </w:r>
      <w:proofErr w:type="gramStart"/>
      <w:r w:rsidR="003C766C">
        <w:rPr>
          <w:rFonts w:cs="Arial"/>
          <w:szCs w:val="24"/>
        </w:rPr>
        <w:t>in order to</w:t>
      </w:r>
      <w:proofErr w:type="gramEnd"/>
      <w:r w:rsidR="003C766C">
        <w:rPr>
          <w:rFonts w:cs="Arial"/>
          <w:szCs w:val="24"/>
        </w:rPr>
        <w:t xml:space="preserve"> meet organisational need</w:t>
      </w:r>
      <w:r w:rsidRPr="00464CF9">
        <w:rPr>
          <w:rFonts w:cs="Arial"/>
          <w:szCs w:val="24"/>
        </w:rPr>
        <w:t>.</w:t>
      </w:r>
      <w:r w:rsidR="00EF3710">
        <w:rPr>
          <w:rFonts w:cs="Arial"/>
          <w:szCs w:val="24"/>
        </w:rPr>
        <w:t xml:space="preserve"> The Council’s lowest pay point for non-training posts is SCP5 in Band 3.</w:t>
      </w:r>
    </w:p>
    <w:p w14:paraId="6FCF8295" w14:textId="77777777" w:rsidR="00464CF9" w:rsidRPr="00464CF9" w:rsidRDefault="00464CF9" w:rsidP="00464CF9">
      <w:pPr>
        <w:rPr>
          <w:rFonts w:cs="Arial"/>
          <w:szCs w:val="24"/>
        </w:rPr>
      </w:pPr>
    </w:p>
    <w:p w14:paraId="06D184F8" w14:textId="77777777" w:rsidR="00464CF9" w:rsidRPr="00464CF9" w:rsidRDefault="00464CF9" w:rsidP="00D32888">
      <w:pPr>
        <w:pStyle w:val="Heading2"/>
        <w:numPr>
          <w:ilvl w:val="0"/>
          <w:numId w:val="24"/>
        </w:numPr>
        <w:rPr>
          <w:rFonts w:ascii="Arial" w:hAnsi="Arial" w:cs="Arial"/>
          <w:i w:val="0"/>
          <w:sz w:val="24"/>
          <w:szCs w:val="24"/>
        </w:rPr>
      </w:pPr>
      <w:r w:rsidRPr="00464CF9">
        <w:rPr>
          <w:rFonts w:ascii="Arial" w:hAnsi="Arial" w:cs="Arial"/>
          <w:i w:val="0"/>
          <w:sz w:val="24"/>
          <w:szCs w:val="24"/>
        </w:rPr>
        <w:t>Pay Award</w:t>
      </w:r>
    </w:p>
    <w:p w14:paraId="2EE6D4DE" w14:textId="77777777" w:rsidR="00464CF9" w:rsidRPr="00464CF9" w:rsidRDefault="00464CF9" w:rsidP="00080E1E">
      <w:pPr>
        <w:rPr>
          <w:rFonts w:cs="Arial"/>
          <w:szCs w:val="24"/>
        </w:rPr>
      </w:pPr>
      <w:r w:rsidRPr="00464CF9">
        <w:rPr>
          <w:rFonts w:cs="Arial"/>
          <w:szCs w:val="24"/>
        </w:rPr>
        <w:t xml:space="preserve">The nationally agreed pay award determined </w:t>
      </w:r>
      <w:proofErr w:type="gramStart"/>
      <w:r w:rsidRPr="00464CF9">
        <w:rPr>
          <w:rFonts w:cs="Arial"/>
          <w:szCs w:val="24"/>
        </w:rPr>
        <w:t>at</w:t>
      </w:r>
      <w:proofErr w:type="gramEnd"/>
      <w:r w:rsidRPr="00464CF9">
        <w:rPr>
          <w:rFonts w:cs="Arial"/>
          <w:szCs w:val="24"/>
        </w:rPr>
        <w:t xml:space="preserve"> 1 April each year will be applied to the spinal column points used in the grading structure, including any locally set points.</w:t>
      </w:r>
    </w:p>
    <w:p w14:paraId="68811A05" w14:textId="77777777" w:rsidR="00464CF9" w:rsidRPr="00464CF9" w:rsidRDefault="00464CF9" w:rsidP="00464CF9">
      <w:pPr>
        <w:rPr>
          <w:rFonts w:cs="Arial"/>
          <w:szCs w:val="24"/>
        </w:rPr>
      </w:pPr>
    </w:p>
    <w:p w14:paraId="3BD015B2" w14:textId="77777777" w:rsidR="00464CF9" w:rsidRPr="00464CF9" w:rsidRDefault="00464CF9" w:rsidP="00D32888">
      <w:pPr>
        <w:pStyle w:val="Heading2"/>
        <w:numPr>
          <w:ilvl w:val="0"/>
          <w:numId w:val="24"/>
        </w:numPr>
        <w:spacing w:before="0" w:after="0"/>
        <w:rPr>
          <w:rFonts w:ascii="Arial" w:hAnsi="Arial" w:cs="Arial"/>
          <w:i w:val="0"/>
          <w:sz w:val="24"/>
          <w:szCs w:val="24"/>
        </w:rPr>
      </w:pPr>
      <w:r w:rsidRPr="00464CF9">
        <w:rPr>
          <w:rFonts w:ascii="Arial" w:hAnsi="Arial" w:cs="Arial"/>
          <w:i w:val="0"/>
          <w:sz w:val="24"/>
          <w:szCs w:val="24"/>
        </w:rPr>
        <w:t>Incremental Progression</w:t>
      </w:r>
    </w:p>
    <w:p w14:paraId="38DD2C60" w14:textId="77777777" w:rsidR="00464CF9" w:rsidRPr="00464CF9" w:rsidRDefault="00464CF9" w:rsidP="00D32888">
      <w:pPr>
        <w:numPr>
          <w:ilvl w:val="1"/>
          <w:numId w:val="39"/>
        </w:numPr>
        <w:ind w:left="720"/>
        <w:rPr>
          <w:rFonts w:cs="Arial"/>
          <w:szCs w:val="24"/>
        </w:rPr>
      </w:pPr>
      <w:r w:rsidRPr="00464CF9">
        <w:rPr>
          <w:rFonts w:cs="Arial"/>
          <w:szCs w:val="24"/>
        </w:rPr>
        <w:t xml:space="preserve">All jobs will be allocated to a scale consisting of </w:t>
      </w:r>
      <w:proofErr w:type="gramStart"/>
      <w:r w:rsidRPr="00464CF9">
        <w:rPr>
          <w:rFonts w:cs="Arial"/>
          <w:szCs w:val="24"/>
        </w:rPr>
        <w:t>a number of</w:t>
      </w:r>
      <w:proofErr w:type="gramEnd"/>
      <w:r w:rsidRPr="00464CF9">
        <w:rPr>
          <w:rFonts w:cs="Arial"/>
          <w:szCs w:val="24"/>
        </w:rPr>
        <w:t xml:space="preserve"> incremental points not exceeding 5.  The scales will not overlap and depending on the final grading structure may not be continuous with the national spinal column points. </w:t>
      </w:r>
    </w:p>
    <w:p w14:paraId="17FC2922" w14:textId="77777777" w:rsidR="00464CF9" w:rsidRPr="00464CF9" w:rsidRDefault="00464CF9" w:rsidP="00464CF9">
      <w:pPr>
        <w:rPr>
          <w:rFonts w:cs="Arial"/>
          <w:szCs w:val="24"/>
        </w:rPr>
      </w:pPr>
    </w:p>
    <w:p w14:paraId="3FC2B10D" w14:textId="77777777" w:rsidR="00464CF9" w:rsidRPr="00464CF9" w:rsidRDefault="00464CF9" w:rsidP="00D32888">
      <w:pPr>
        <w:numPr>
          <w:ilvl w:val="1"/>
          <w:numId w:val="39"/>
        </w:numPr>
        <w:ind w:left="720"/>
        <w:rPr>
          <w:rFonts w:cs="Arial"/>
          <w:szCs w:val="24"/>
        </w:rPr>
      </w:pPr>
      <w:r w:rsidRPr="00464CF9">
        <w:rPr>
          <w:rFonts w:cs="Arial"/>
          <w:szCs w:val="24"/>
        </w:rPr>
        <w:t xml:space="preserve">In most cases employees appointed to a new post will start at the bottom incremental point of the grade for the post.  Where it can be demonstrated through the selection process that an individual candidate has relevant experience or qualifications, appointment at a higher incremental point may be justified.  This should be agreed by the </w:t>
      </w:r>
      <w:r w:rsidR="000D6358">
        <w:rPr>
          <w:rFonts w:cs="Arial"/>
          <w:szCs w:val="24"/>
        </w:rPr>
        <w:t>Corporate Director</w:t>
      </w:r>
      <w:r w:rsidRPr="00464CF9">
        <w:rPr>
          <w:rFonts w:cs="Arial"/>
          <w:szCs w:val="24"/>
        </w:rPr>
        <w:t xml:space="preserve"> following consultation with personnel to ensure consistency both within Departments and across the Authority.</w:t>
      </w:r>
    </w:p>
    <w:p w14:paraId="2B0F264D" w14:textId="77777777" w:rsidR="00464CF9" w:rsidRPr="00464CF9" w:rsidRDefault="00464CF9" w:rsidP="00464CF9">
      <w:pPr>
        <w:rPr>
          <w:rFonts w:cs="Arial"/>
          <w:szCs w:val="24"/>
        </w:rPr>
      </w:pPr>
    </w:p>
    <w:p w14:paraId="7F3D24FF" w14:textId="77777777" w:rsidR="00464CF9" w:rsidRPr="00464CF9" w:rsidRDefault="00464CF9" w:rsidP="00D32888">
      <w:pPr>
        <w:numPr>
          <w:ilvl w:val="1"/>
          <w:numId w:val="39"/>
        </w:numPr>
        <w:ind w:left="720"/>
        <w:rPr>
          <w:rFonts w:cs="Arial"/>
          <w:szCs w:val="24"/>
        </w:rPr>
      </w:pPr>
      <w:r w:rsidRPr="00464CF9">
        <w:rPr>
          <w:rFonts w:cs="Arial"/>
          <w:szCs w:val="24"/>
        </w:rPr>
        <w:t xml:space="preserve">Employees will progress to the next incremental point on their grade on 1 April of each year except where the employee has been in post less than 6 months.  Where an employee has been in post less than 6 months </w:t>
      </w:r>
      <w:proofErr w:type="gramStart"/>
      <w:r w:rsidRPr="00464CF9">
        <w:rPr>
          <w:rFonts w:cs="Arial"/>
          <w:szCs w:val="24"/>
        </w:rPr>
        <w:t>at</w:t>
      </w:r>
      <w:proofErr w:type="gramEnd"/>
      <w:r w:rsidRPr="00464CF9">
        <w:rPr>
          <w:rFonts w:cs="Arial"/>
          <w:szCs w:val="24"/>
        </w:rPr>
        <w:t xml:space="preserve"> 1 April, they will progress to the next incremental point 6 months after appointment and thereafter on 1 April each year. </w:t>
      </w:r>
    </w:p>
    <w:p w14:paraId="67C14059" w14:textId="77777777" w:rsidR="00464CF9" w:rsidRPr="00464CF9" w:rsidRDefault="00464CF9" w:rsidP="00464CF9">
      <w:pPr>
        <w:rPr>
          <w:rFonts w:cs="Arial"/>
          <w:szCs w:val="24"/>
        </w:rPr>
      </w:pPr>
    </w:p>
    <w:p w14:paraId="7BCE7DF4" w14:textId="77777777" w:rsidR="00464CF9" w:rsidRPr="00464CF9" w:rsidRDefault="00464CF9" w:rsidP="00D32888">
      <w:pPr>
        <w:numPr>
          <w:ilvl w:val="1"/>
          <w:numId w:val="39"/>
        </w:numPr>
        <w:ind w:left="720"/>
        <w:rPr>
          <w:rFonts w:cs="Arial"/>
          <w:szCs w:val="24"/>
        </w:rPr>
      </w:pPr>
      <w:r w:rsidRPr="00464CF9">
        <w:rPr>
          <w:rFonts w:cs="Arial"/>
          <w:szCs w:val="24"/>
        </w:rPr>
        <w:t xml:space="preserve">Employees will progress automatically through the incremental scale in accordance with paragraph </w:t>
      </w:r>
      <w:r w:rsidR="003C766C">
        <w:rPr>
          <w:rFonts w:cs="Arial"/>
          <w:szCs w:val="24"/>
        </w:rPr>
        <w:t>c</w:t>
      </w:r>
      <w:r w:rsidRPr="00464CF9">
        <w:rPr>
          <w:rFonts w:cs="Arial"/>
          <w:szCs w:val="24"/>
        </w:rPr>
        <w:t xml:space="preserve">. In the exceptional circumstances that an employee is not meeting output and quality standards expected for a post the </w:t>
      </w:r>
      <w:r w:rsidR="000D6358">
        <w:rPr>
          <w:rFonts w:cs="Arial"/>
          <w:szCs w:val="24"/>
        </w:rPr>
        <w:t>Corporate Director</w:t>
      </w:r>
      <w:r w:rsidRPr="00464CF9">
        <w:rPr>
          <w:rFonts w:cs="Arial"/>
          <w:szCs w:val="24"/>
        </w:rPr>
        <w:t xml:space="preserve">, after consultation with </w:t>
      </w:r>
      <w:r w:rsidR="00A91F89">
        <w:rPr>
          <w:rFonts w:cs="Arial"/>
          <w:szCs w:val="24"/>
        </w:rPr>
        <w:t xml:space="preserve">the </w:t>
      </w:r>
      <w:r w:rsidR="00EA654F">
        <w:rPr>
          <w:rFonts w:cs="Arial"/>
          <w:szCs w:val="24"/>
        </w:rPr>
        <w:t>Head of Service for HR</w:t>
      </w:r>
      <w:r w:rsidRPr="00464CF9">
        <w:rPr>
          <w:rFonts w:cs="Arial"/>
          <w:szCs w:val="24"/>
        </w:rPr>
        <w:t xml:space="preserve"> may with</w:t>
      </w:r>
      <w:r w:rsidR="003C766C">
        <w:rPr>
          <w:rFonts w:cs="Arial"/>
          <w:szCs w:val="24"/>
        </w:rPr>
        <w:t>hold</w:t>
      </w:r>
      <w:r w:rsidRPr="00464CF9">
        <w:rPr>
          <w:rFonts w:cs="Arial"/>
          <w:szCs w:val="24"/>
        </w:rPr>
        <w:t xml:space="preserve"> an increment.  Any such action will be supported by an adverse probation report, extension of probationary service or other formal performance review mechanism.</w:t>
      </w:r>
    </w:p>
    <w:p w14:paraId="3BC301DC" w14:textId="77777777" w:rsidR="00464CF9" w:rsidRPr="00464CF9" w:rsidRDefault="00464CF9" w:rsidP="00464CF9">
      <w:pPr>
        <w:rPr>
          <w:rFonts w:cs="Arial"/>
          <w:szCs w:val="24"/>
        </w:rPr>
      </w:pPr>
    </w:p>
    <w:p w14:paraId="432B3774" w14:textId="77777777" w:rsidR="00464CF9" w:rsidRPr="00464CF9" w:rsidRDefault="00464CF9" w:rsidP="00D32888">
      <w:pPr>
        <w:numPr>
          <w:ilvl w:val="1"/>
          <w:numId w:val="39"/>
        </w:numPr>
        <w:ind w:left="720"/>
        <w:rPr>
          <w:rFonts w:cs="Arial"/>
          <w:szCs w:val="24"/>
        </w:rPr>
      </w:pPr>
      <w:r w:rsidRPr="00464CF9">
        <w:rPr>
          <w:rFonts w:cs="Arial"/>
          <w:szCs w:val="24"/>
        </w:rPr>
        <w:t>The reasons for withholding an increment will be explained to the employee and guidance given about areas for improvement such that incremental progression can continue when standards are met.</w:t>
      </w:r>
    </w:p>
    <w:p w14:paraId="6BFB3182" w14:textId="77777777" w:rsidR="00464CF9" w:rsidRPr="00464CF9" w:rsidRDefault="00464CF9" w:rsidP="00464CF9">
      <w:pPr>
        <w:rPr>
          <w:rFonts w:cs="Arial"/>
          <w:szCs w:val="24"/>
        </w:rPr>
      </w:pPr>
    </w:p>
    <w:p w14:paraId="1EA7364C" w14:textId="77777777" w:rsidR="00464CF9" w:rsidRPr="00464CF9" w:rsidRDefault="00464CF9" w:rsidP="00D32888">
      <w:pPr>
        <w:numPr>
          <w:ilvl w:val="1"/>
          <w:numId w:val="39"/>
        </w:numPr>
        <w:ind w:left="720"/>
        <w:rPr>
          <w:rFonts w:cs="Arial"/>
          <w:szCs w:val="24"/>
        </w:rPr>
      </w:pPr>
      <w:r w:rsidRPr="00464CF9">
        <w:rPr>
          <w:rFonts w:cs="Arial"/>
          <w:szCs w:val="24"/>
        </w:rPr>
        <w:t xml:space="preserve">Where an individual employee is dissatisfied with the reasons for withholding an annual increment, they may appeal in writing to the Head of Paid Service, who will review the decision of the </w:t>
      </w:r>
      <w:r w:rsidR="000D6358">
        <w:rPr>
          <w:rFonts w:cs="Arial"/>
          <w:szCs w:val="24"/>
        </w:rPr>
        <w:t>Corporate Director</w:t>
      </w:r>
      <w:r w:rsidRPr="00464CF9">
        <w:rPr>
          <w:rFonts w:cs="Arial"/>
          <w:szCs w:val="24"/>
        </w:rPr>
        <w:t xml:space="preserve">.  </w:t>
      </w:r>
    </w:p>
    <w:p w14:paraId="0FDAD502" w14:textId="77777777" w:rsidR="00464CF9" w:rsidRPr="00464CF9" w:rsidRDefault="00464CF9" w:rsidP="00464CF9">
      <w:pPr>
        <w:rPr>
          <w:rFonts w:cs="Arial"/>
          <w:szCs w:val="24"/>
        </w:rPr>
      </w:pPr>
    </w:p>
    <w:p w14:paraId="592A6792" w14:textId="77777777" w:rsidR="00464CF9" w:rsidRPr="00464CF9" w:rsidRDefault="00464CF9" w:rsidP="00D32888">
      <w:pPr>
        <w:pStyle w:val="Heading2"/>
        <w:numPr>
          <w:ilvl w:val="0"/>
          <w:numId w:val="7"/>
        </w:numPr>
        <w:spacing w:before="0" w:after="0"/>
        <w:rPr>
          <w:rFonts w:ascii="Arial" w:hAnsi="Arial" w:cs="Arial"/>
          <w:i w:val="0"/>
          <w:sz w:val="24"/>
          <w:szCs w:val="24"/>
        </w:rPr>
      </w:pPr>
      <w:r w:rsidRPr="00464CF9">
        <w:rPr>
          <w:rFonts w:ascii="Arial" w:hAnsi="Arial" w:cs="Arial"/>
          <w:i w:val="0"/>
          <w:sz w:val="24"/>
          <w:szCs w:val="24"/>
        </w:rPr>
        <w:t>Market Factor Supplements</w:t>
      </w:r>
    </w:p>
    <w:p w14:paraId="4AD42E92" w14:textId="77777777" w:rsidR="00464CF9" w:rsidRPr="00464CF9" w:rsidRDefault="00464CF9" w:rsidP="00464CF9">
      <w:pPr>
        <w:rPr>
          <w:rFonts w:cs="Arial"/>
          <w:b/>
          <w:szCs w:val="24"/>
        </w:rPr>
      </w:pPr>
    </w:p>
    <w:p w14:paraId="490B6B68" w14:textId="77777777" w:rsidR="00464CF9" w:rsidRPr="00464CF9" w:rsidRDefault="00464CF9" w:rsidP="00D32888">
      <w:pPr>
        <w:numPr>
          <w:ilvl w:val="7"/>
          <w:numId w:val="10"/>
        </w:numPr>
        <w:ind w:left="720"/>
        <w:rPr>
          <w:rFonts w:cs="Arial"/>
          <w:szCs w:val="24"/>
        </w:rPr>
      </w:pPr>
      <w:r w:rsidRPr="00464CF9">
        <w:rPr>
          <w:rFonts w:cs="Arial"/>
          <w:szCs w:val="24"/>
        </w:rPr>
        <w:t>The pay and grading structure has been set to reflect the relative values of jobs within this organisation and at pay levels which reflect the general local employment pay levels.  However, there may be occasions where it is necessary to enhance the pay levels of specific groups of employees where it is proven that it is difficult to attract and retain employees because of external pay levels.  Where such situations are identified, additional market factor supplements may be agreed.</w:t>
      </w:r>
    </w:p>
    <w:p w14:paraId="562462DA" w14:textId="77777777" w:rsidR="00464CF9" w:rsidRPr="00464CF9" w:rsidRDefault="00464CF9" w:rsidP="008F6A10">
      <w:pPr>
        <w:rPr>
          <w:rFonts w:cs="Arial"/>
          <w:szCs w:val="24"/>
        </w:rPr>
      </w:pPr>
    </w:p>
    <w:p w14:paraId="4CF11884" w14:textId="77777777" w:rsidR="00464CF9" w:rsidRPr="00464CF9" w:rsidRDefault="00464CF9" w:rsidP="00D32888">
      <w:pPr>
        <w:numPr>
          <w:ilvl w:val="7"/>
          <w:numId w:val="10"/>
        </w:numPr>
        <w:ind w:left="720"/>
        <w:rPr>
          <w:rFonts w:cs="Arial"/>
          <w:szCs w:val="24"/>
        </w:rPr>
      </w:pPr>
      <w:r w:rsidRPr="00464CF9">
        <w:rPr>
          <w:rFonts w:cs="Arial"/>
          <w:szCs w:val="24"/>
        </w:rPr>
        <w:t xml:space="preserve">Payment of market factor supplements will be made </w:t>
      </w:r>
      <w:proofErr w:type="gramStart"/>
      <w:r w:rsidRPr="00464CF9">
        <w:rPr>
          <w:rFonts w:cs="Arial"/>
          <w:szCs w:val="24"/>
        </w:rPr>
        <w:t>taking into account</w:t>
      </w:r>
      <w:proofErr w:type="gramEnd"/>
      <w:r w:rsidRPr="00464CF9">
        <w:rPr>
          <w:rFonts w:cs="Arial"/>
          <w:szCs w:val="24"/>
        </w:rPr>
        <w:t xml:space="preserve"> the following factors:</w:t>
      </w:r>
    </w:p>
    <w:p w14:paraId="58465931" w14:textId="77777777" w:rsidR="00464CF9" w:rsidRPr="00464CF9" w:rsidRDefault="00464CF9" w:rsidP="00464CF9">
      <w:pPr>
        <w:rPr>
          <w:rFonts w:cs="Arial"/>
          <w:szCs w:val="24"/>
        </w:rPr>
      </w:pPr>
    </w:p>
    <w:p w14:paraId="1DD89374" w14:textId="77777777" w:rsidR="00464CF9" w:rsidRPr="00464CF9" w:rsidRDefault="00464CF9" w:rsidP="00D32888">
      <w:pPr>
        <w:numPr>
          <w:ilvl w:val="0"/>
          <w:numId w:val="8"/>
        </w:numPr>
        <w:tabs>
          <w:tab w:val="clear" w:pos="360"/>
          <w:tab w:val="num" w:pos="1080"/>
        </w:tabs>
        <w:ind w:left="1080"/>
        <w:rPr>
          <w:rFonts w:cs="Arial"/>
          <w:szCs w:val="24"/>
        </w:rPr>
      </w:pPr>
      <w:r w:rsidRPr="00464CF9">
        <w:rPr>
          <w:rFonts w:cs="Arial"/>
          <w:szCs w:val="24"/>
        </w:rPr>
        <w:t xml:space="preserve">Evidence of high levels of turnover in the </w:t>
      </w:r>
      <w:proofErr w:type="gramStart"/>
      <w:r w:rsidRPr="00464CF9">
        <w:rPr>
          <w:rFonts w:cs="Arial"/>
          <w:szCs w:val="24"/>
        </w:rPr>
        <w:t>particular staff</w:t>
      </w:r>
      <w:proofErr w:type="gramEnd"/>
      <w:r w:rsidRPr="00464CF9">
        <w:rPr>
          <w:rFonts w:cs="Arial"/>
          <w:szCs w:val="24"/>
        </w:rPr>
        <w:t xml:space="preserve"> group</w:t>
      </w:r>
    </w:p>
    <w:p w14:paraId="189D9D23" w14:textId="77777777" w:rsidR="00464CF9" w:rsidRPr="00464CF9" w:rsidRDefault="00464CF9" w:rsidP="00D32888">
      <w:pPr>
        <w:numPr>
          <w:ilvl w:val="0"/>
          <w:numId w:val="8"/>
        </w:numPr>
        <w:tabs>
          <w:tab w:val="clear" w:pos="360"/>
          <w:tab w:val="num" w:pos="1080"/>
        </w:tabs>
        <w:ind w:left="1080"/>
        <w:rPr>
          <w:rFonts w:cs="Arial"/>
          <w:szCs w:val="24"/>
        </w:rPr>
      </w:pPr>
      <w:r w:rsidRPr="00464CF9">
        <w:rPr>
          <w:rFonts w:cs="Arial"/>
          <w:szCs w:val="24"/>
        </w:rPr>
        <w:t xml:space="preserve">Evidence of difficulties in recruiting to posts </w:t>
      </w:r>
      <w:proofErr w:type="spellStart"/>
      <w:r w:rsidRPr="00464CF9">
        <w:rPr>
          <w:rFonts w:cs="Arial"/>
          <w:szCs w:val="24"/>
        </w:rPr>
        <w:t>ie</w:t>
      </w:r>
      <w:proofErr w:type="spellEnd"/>
      <w:r w:rsidRPr="00464CF9">
        <w:rPr>
          <w:rFonts w:cs="Arial"/>
          <w:szCs w:val="24"/>
        </w:rPr>
        <w:t xml:space="preserve"> by low response rates to advertisements or inability to attract suitable </w:t>
      </w:r>
      <w:proofErr w:type="gramStart"/>
      <w:r w:rsidRPr="00464CF9">
        <w:rPr>
          <w:rFonts w:cs="Arial"/>
          <w:szCs w:val="24"/>
        </w:rPr>
        <w:t>candidates</w:t>
      </w:r>
      <w:proofErr w:type="gramEnd"/>
    </w:p>
    <w:p w14:paraId="71A212F1" w14:textId="77777777" w:rsidR="00464CF9" w:rsidRPr="00464CF9" w:rsidRDefault="00464CF9" w:rsidP="00D32888">
      <w:pPr>
        <w:numPr>
          <w:ilvl w:val="0"/>
          <w:numId w:val="8"/>
        </w:numPr>
        <w:tabs>
          <w:tab w:val="clear" w:pos="360"/>
          <w:tab w:val="num" w:pos="1080"/>
        </w:tabs>
        <w:ind w:left="1080"/>
        <w:rPr>
          <w:rFonts w:cs="Arial"/>
          <w:szCs w:val="24"/>
        </w:rPr>
      </w:pPr>
      <w:r w:rsidRPr="00464CF9">
        <w:rPr>
          <w:rFonts w:cs="Arial"/>
          <w:szCs w:val="24"/>
        </w:rPr>
        <w:t>Comparison with like jobs in other local authorities and more widely in the sector</w:t>
      </w:r>
    </w:p>
    <w:p w14:paraId="71BD8F79" w14:textId="77777777" w:rsidR="00464CF9" w:rsidRPr="00464CF9" w:rsidRDefault="00464CF9" w:rsidP="00D32888">
      <w:pPr>
        <w:numPr>
          <w:ilvl w:val="0"/>
          <w:numId w:val="8"/>
        </w:numPr>
        <w:tabs>
          <w:tab w:val="clear" w:pos="360"/>
          <w:tab w:val="num" w:pos="1080"/>
        </w:tabs>
        <w:ind w:left="1080"/>
        <w:rPr>
          <w:rFonts w:cs="Arial"/>
          <w:szCs w:val="24"/>
        </w:rPr>
      </w:pPr>
      <w:r w:rsidRPr="00464CF9">
        <w:rPr>
          <w:rFonts w:cs="Arial"/>
          <w:szCs w:val="24"/>
        </w:rPr>
        <w:t xml:space="preserve">All current employees within the group affected will receive the </w:t>
      </w:r>
      <w:proofErr w:type="gramStart"/>
      <w:r w:rsidRPr="00464CF9">
        <w:rPr>
          <w:rFonts w:cs="Arial"/>
          <w:szCs w:val="24"/>
        </w:rPr>
        <w:t>payment</w:t>
      </w:r>
      <w:proofErr w:type="gramEnd"/>
    </w:p>
    <w:p w14:paraId="103612C4" w14:textId="77777777" w:rsidR="00464CF9" w:rsidRPr="00464CF9" w:rsidRDefault="00464CF9" w:rsidP="00D32888">
      <w:pPr>
        <w:numPr>
          <w:ilvl w:val="0"/>
          <w:numId w:val="8"/>
        </w:numPr>
        <w:tabs>
          <w:tab w:val="clear" w:pos="360"/>
          <w:tab w:val="num" w:pos="1080"/>
        </w:tabs>
        <w:ind w:left="1080"/>
        <w:rPr>
          <w:rFonts w:cs="Arial"/>
          <w:szCs w:val="24"/>
        </w:rPr>
      </w:pPr>
      <w:r w:rsidRPr="00464CF9">
        <w:rPr>
          <w:rFonts w:cs="Arial"/>
          <w:szCs w:val="24"/>
        </w:rPr>
        <w:t xml:space="preserve">Clear criteria for receiving the payment must be determined </w:t>
      </w:r>
      <w:proofErr w:type="spellStart"/>
      <w:r w:rsidRPr="00464CF9">
        <w:rPr>
          <w:rFonts w:cs="Arial"/>
          <w:szCs w:val="24"/>
        </w:rPr>
        <w:t>ie</w:t>
      </w:r>
      <w:proofErr w:type="spellEnd"/>
      <w:r w:rsidRPr="00464CF9">
        <w:rPr>
          <w:rFonts w:cs="Arial"/>
          <w:szCs w:val="24"/>
        </w:rPr>
        <w:t xml:space="preserve"> possession of specific qualifications and length of experience etc.</w:t>
      </w:r>
    </w:p>
    <w:p w14:paraId="057A9BC9" w14:textId="77777777" w:rsidR="00464CF9" w:rsidRPr="00464CF9" w:rsidRDefault="00464CF9" w:rsidP="00D32888">
      <w:pPr>
        <w:numPr>
          <w:ilvl w:val="0"/>
          <w:numId w:val="8"/>
        </w:numPr>
        <w:tabs>
          <w:tab w:val="clear" w:pos="360"/>
          <w:tab w:val="num" w:pos="1080"/>
        </w:tabs>
        <w:ind w:left="1080"/>
        <w:rPr>
          <w:rFonts w:cs="Arial"/>
          <w:szCs w:val="24"/>
        </w:rPr>
      </w:pPr>
      <w:r w:rsidRPr="00464CF9">
        <w:rPr>
          <w:rFonts w:cs="Arial"/>
          <w:szCs w:val="24"/>
        </w:rPr>
        <w:t xml:space="preserve">Payment will be made for a specific </w:t>
      </w:r>
      <w:proofErr w:type="gramStart"/>
      <w:r w:rsidRPr="00464CF9">
        <w:rPr>
          <w:rFonts w:cs="Arial"/>
          <w:szCs w:val="24"/>
        </w:rPr>
        <w:t>time period</w:t>
      </w:r>
      <w:proofErr w:type="gramEnd"/>
      <w:r w:rsidR="00570C15">
        <w:rPr>
          <w:rFonts w:cs="Arial"/>
          <w:szCs w:val="24"/>
        </w:rPr>
        <w:t xml:space="preserve"> (normally up to a maximum of three years initially)</w:t>
      </w:r>
      <w:r w:rsidRPr="00464CF9">
        <w:rPr>
          <w:rFonts w:cs="Arial"/>
          <w:szCs w:val="24"/>
        </w:rPr>
        <w:t>.  Where it is determined that the supplements can no longer be justified, employees in receipt of these will be given 12 months</w:t>
      </w:r>
      <w:r w:rsidR="00A25AF3">
        <w:rPr>
          <w:rFonts w:cs="Arial"/>
          <w:szCs w:val="24"/>
        </w:rPr>
        <w:t>’</w:t>
      </w:r>
      <w:r w:rsidRPr="00464CF9">
        <w:rPr>
          <w:rFonts w:cs="Arial"/>
          <w:szCs w:val="24"/>
        </w:rPr>
        <w:t xml:space="preserve"> notice of withdrawal.  At the end of that </w:t>
      </w:r>
      <w:proofErr w:type="gramStart"/>
      <w:r w:rsidRPr="00464CF9">
        <w:rPr>
          <w:rFonts w:cs="Arial"/>
          <w:szCs w:val="24"/>
        </w:rPr>
        <w:t>time</w:t>
      </w:r>
      <w:proofErr w:type="gramEnd"/>
      <w:r w:rsidRPr="00464CF9">
        <w:rPr>
          <w:rFonts w:cs="Arial"/>
          <w:szCs w:val="24"/>
        </w:rPr>
        <w:t xml:space="preserve"> they will revert to the substantive salary for their post.</w:t>
      </w:r>
    </w:p>
    <w:p w14:paraId="4BB7126F" w14:textId="77777777" w:rsidR="00464CF9" w:rsidRPr="00464CF9" w:rsidRDefault="00464CF9" w:rsidP="00464CF9">
      <w:pPr>
        <w:rPr>
          <w:rFonts w:cs="Arial"/>
          <w:szCs w:val="24"/>
        </w:rPr>
      </w:pPr>
    </w:p>
    <w:p w14:paraId="494B10CE" w14:textId="77777777" w:rsidR="00464CF9" w:rsidRPr="00464CF9" w:rsidRDefault="00464CF9" w:rsidP="00D32888">
      <w:pPr>
        <w:pStyle w:val="BodyTextIndent"/>
        <w:numPr>
          <w:ilvl w:val="0"/>
          <w:numId w:val="11"/>
        </w:numPr>
        <w:tabs>
          <w:tab w:val="left" w:pos="426"/>
        </w:tabs>
        <w:spacing w:after="0"/>
        <w:rPr>
          <w:rFonts w:cs="Arial"/>
          <w:szCs w:val="24"/>
        </w:rPr>
      </w:pPr>
      <w:r w:rsidRPr="00464CF9">
        <w:rPr>
          <w:rFonts w:cs="Arial"/>
          <w:szCs w:val="24"/>
        </w:rPr>
        <w:t xml:space="preserve">The amount to be awarded will be determined by the evidence gathered to support the need for a market factor supplement that would indicate the appropriate salary levels.  The supplement will be </w:t>
      </w:r>
      <w:proofErr w:type="gramStart"/>
      <w:r w:rsidRPr="00464CF9">
        <w:rPr>
          <w:rFonts w:cs="Arial"/>
          <w:szCs w:val="24"/>
        </w:rPr>
        <w:t>a number of</w:t>
      </w:r>
      <w:proofErr w:type="gramEnd"/>
      <w:r w:rsidRPr="00464CF9">
        <w:rPr>
          <w:rFonts w:cs="Arial"/>
          <w:szCs w:val="24"/>
        </w:rPr>
        <w:t xml:space="preserve"> increments above the top of the grade, paid on a monthly basis.</w:t>
      </w:r>
    </w:p>
    <w:p w14:paraId="5FD07890" w14:textId="77777777" w:rsidR="00464CF9" w:rsidRPr="00464CF9" w:rsidRDefault="00464CF9" w:rsidP="008F6A10">
      <w:pPr>
        <w:pStyle w:val="BodyTextIndent"/>
        <w:ind w:left="0" w:firstLine="45"/>
        <w:rPr>
          <w:rFonts w:cs="Arial"/>
          <w:szCs w:val="24"/>
        </w:rPr>
      </w:pPr>
    </w:p>
    <w:p w14:paraId="5BAE2253" w14:textId="77777777" w:rsidR="00464CF9" w:rsidRDefault="00A25AF3" w:rsidP="00D32888">
      <w:pPr>
        <w:pStyle w:val="BodyTextIndent"/>
        <w:numPr>
          <w:ilvl w:val="0"/>
          <w:numId w:val="11"/>
        </w:numPr>
        <w:tabs>
          <w:tab w:val="left" w:pos="426"/>
        </w:tabs>
        <w:spacing w:after="0"/>
        <w:ind w:left="709"/>
        <w:rPr>
          <w:rFonts w:cs="Arial"/>
          <w:szCs w:val="24"/>
        </w:rPr>
      </w:pPr>
      <w:r w:rsidRPr="00224337">
        <w:rPr>
          <w:rFonts w:cs="Arial"/>
          <w:szCs w:val="24"/>
        </w:rPr>
        <w:t xml:space="preserve">Senior Leadership </w:t>
      </w:r>
      <w:r w:rsidR="00464CF9" w:rsidRPr="00224337">
        <w:rPr>
          <w:rFonts w:cs="Arial"/>
          <w:szCs w:val="24"/>
        </w:rPr>
        <w:t xml:space="preserve">Team will </w:t>
      </w:r>
      <w:r w:rsidR="00224337" w:rsidRPr="00224337">
        <w:rPr>
          <w:rFonts w:cs="Arial"/>
          <w:szCs w:val="24"/>
        </w:rPr>
        <w:t xml:space="preserve">determine to which posts a market factor payment will be made and to the value of this payment. </w:t>
      </w:r>
    </w:p>
    <w:p w14:paraId="4267A737" w14:textId="77777777" w:rsidR="003C05E8" w:rsidRPr="00224337" w:rsidRDefault="003C05E8" w:rsidP="003C05E8">
      <w:pPr>
        <w:pStyle w:val="BodyTextIndent"/>
        <w:tabs>
          <w:tab w:val="left" w:pos="426"/>
        </w:tabs>
        <w:spacing w:after="0"/>
        <w:ind w:left="709"/>
        <w:rPr>
          <w:rFonts w:cs="Arial"/>
          <w:szCs w:val="24"/>
        </w:rPr>
      </w:pPr>
    </w:p>
    <w:p w14:paraId="1D86B363" w14:textId="77777777" w:rsidR="00464CF9" w:rsidRPr="00464CF9" w:rsidRDefault="00464CF9" w:rsidP="00D32888">
      <w:pPr>
        <w:pStyle w:val="Heading2"/>
        <w:numPr>
          <w:ilvl w:val="0"/>
          <w:numId w:val="9"/>
        </w:numPr>
        <w:spacing w:before="0" w:after="0"/>
        <w:rPr>
          <w:rFonts w:ascii="Arial" w:hAnsi="Arial" w:cs="Arial"/>
          <w:i w:val="0"/>
          <w:sz w:val="24"/>
          <w:szCs w:val="24"/>
        </w:rPr>
      </w:pPr>
      <w:r w:rsidRPr="00464CF9">
        <w:rPr>
          <w:rFonts w:ascii="Arial" w:hAnsi="Arial" w:cs="Arial"/>
          <w:i w:val="0"/>
          <w:sz w:val="24"/>
          <w:szCs w:val="24"/>
        </w:rPr>
        <w:t>Temporary Additional Responsibilities</w:t>
      </w:r>
    </w:p>
    <w:p w14:paraId="539C9E9A" w14:textId="77777777" w:rsidR="00464CF9" w:rsidRPr="00464CF9" w:rsidRDefault="00464CF9" w:rsidP="00080E1E">
      <w:pPr>
        <w:pStyle w:val="Heading2"/>
        <w:spacing w:before="0" w:after="0"/>
        <w:rPr>
          <w:rFonts w:ascii="Arial" w:hAnsi="Arial" w:cs="Arial"/>
          <w:b w:val="0"/>
          <w:i w:val="0"/>
          <w:sz w:val="24"/>
          <w:szCs w:val="24"/>
        </w:rPr>
      </w:pPr>
      <w:r w:rsidRPr="00464CF9">
        <w:rPr>
          <w:rFonts w:ascii="Arial" w:hAnsi="Arial" w:cs="Arial"/>
          <w:b w:val="0"/>
          <w:i w:val="0"/>
          <w:sz w:val="24"/>
          <w:szCs w:val="24"/>
        </w:rPr>
        <w:t xml:space="preserve">In some </w:t>
      </w:r>
      <w:proofErr w:type="gramStart"/>
      <w:r w:rsidRPr="00464CF9">
        <w:rPr>
          <w:rFonts w:ascii="Arial" w:hAnsi="Arial" w:cs="Arial"/>
          <w:b w:val="0"/>
          <w:i w:val="0"/>
          <w:sz w:val="24"/>
          <w:szCs w:val="24"/>
        </w:rPr>
        <w:t>situations</w:t>
      </w:r>
      <w:proofErr w:type="gramEnd"/>
      <w:r w:rsidRPr="00464CF9">
        <w:rPr>
          <w:rFonts w:ascii="Arial" w:hAnsi="Arial" w:cs="Arial"/>
          <w:b w:val="0"/>
          <w:i w:val="0"/>
          <w:sz w:val="24"/>
          <w:szCs w:val="24"/>
        </w:rPr>
        <w:t xml:space="preserve"> employees may carry out a different role from their substantive job.  Where such situations occur, the employee will receive the appropriate rate for carrying out these duties for the period they do so.  For all other occasions they will be remunerated at the rate for the job undertaken.</w:t>
      </w:r>
    </w:p>
    <w:p w14:paraId="3A7D5848" w14:textId="77777777" w:rsidR="00464CF9" w:rsidRDefault="00464CF9" w:rsidP="00464CF9">
      <w:pPr>
        <w:pStyle w:val="Heading2"/>
        <w:rPr>
          <w:rFonts w:ascii="Arial" w:hAnsi="Arial" w:cs="Arial"/>
          <w:i w:val="0"/>
          <w:sz w:val="24"/>
          <w:szCs w:val="24"/>
        </w:rPr>
      </w:pPr>
    </w:p>
    <w:p w14:paraId="75B08FEE" w14:textId="77777777" w:rsidR="003C05E8" w:rsidRDefault="003C05E8" w:rsidP="003C05E8"/>
    <w:p w14:paraId="118E8C22" w14:textId="77777777" w:rsidR="003C05E8" w:rsidRDefault="003C05E8" w:rsidP="003C05E8"/>
    <w:p w14:paraId="24A2B2C5" w14:textId="77777777" w:rsidR="003C05E8" w:rsidRDefault="003C05E8" w:rsidP="003C05E8"/>
    <w:p w14:paraId="10B0EECF" w14:textId="77777777" w:rsidR="003C05E8" w:rsidRPr="003C05E8" w:rsidRDefault="003C05E8" w:rsidP="003C05E8"/>
    <w:tbl>
      <w:tblPr>
        <w:tblW w:w="8106" w:type="dxa"/>
        <w:tblLayout w:type="fixed"/>
        <w:tblCellMar>
          <w:left w:w="54" w:type="dxa"/>
          <w:right w:w="54" w:type="dxa"/>
        </w:tblCellMar>
        <w:tblLook w:val="0000" w:firstRow="0" w:lastRow="0" w:firstColumn="0" w:lastColumn="0" w:noHBand="0" w:noVBand="0"/>
      </w:tblPr>
      <w:tblGrid>
        <w:gridCol w:w="1436"/>
        <w:gridCol w:w="1436"/>
        <w:gridCol w:w="421"/>
        <w:gridCol w:w="1436"/>
        <w:gridCol w:w="1438"/>
        <w:gridCol w:w="1771"/>
        <w:gridCol w:w="168"/>
      </w:tblGrid>
      <w:tr w:rsidR="00F247C8" w:rsidRPr="00080E1E" w14:paraId="6BA0EC5A" w14:textId="77777777" w:rsidTr="00EF3710">
        <w:trPr>
          <w:cantSplit/>
          <w:trHeight w:val="262"/>
        </w:trPr>
        <w:tc>
          <w:tcPr>
            <w:tcW w:w="6167" w:type="dxa"/>
            <w:gridSpan w:val="5"/>
          </w:tcPr>
          <w:p w14:paraId="6EC63A5C" w14:textId="60483B0D" w:rsidR="00F247C8" w:rsidRPr="00080E1E" w:rsidRDefault="00F247C8" w:rsidP="00D32888">
            <w:pPr>
              <w:widowControl w:val="0"/>
              <w:numPr>
                <w:ilvl w:val="0"/>
                <w:numId w:val="9"/>
              </w:numPr>
              <w:jc w:val="both"/>
              <w:rPr>
                <w:rFonts w:cs="Arial"/>
                <w:b/>
                <w:snapToGrid w:val="0"/>
                <w:szCs w:val="24"/>
              </w:rPr>
            </w:pPr>
            <w:r w:rsidRPr="00080E1E">
              <w:rPr>
                <w:rFonts w:cs="Arial"/>
                <w:b/>
                <w:snapToGrid w:val="0"/>
                <w:szCs w:val="24"/>
              </w:rPr>
              <w:t>Revised grading structure</w:t>
            </w:r>
            <w:r w:rsidR="0076359F">
              <w:rPr>
                <w:rFonts w:cs="Arial"/>
                <w:b/>
                <w:snapToGrid w:val="0"/>
                <w:szCs w:val="24"/>
              </w:rPr>
              <w:t xml:space="preserve"> </w:t>
            </w:r>
            <w:r w:rsidR="0076359F" w:rsidRPr="00825A79">
              <w:rPr>
                <w:rFonts w:cs="Arial"/>
                <w:snapToGrid w:val="0"/>
                <w:szCs w:val="24"/>
              </w:rPr>
              <w:t xml:space="preserve">(updated </w:t>
            </w:r>
            <w:r w:rsidR="00061434">
              <w:rPr>
                <w:rFonts w:cs="Arial"/>
                <w:snapToGrid w:val="0"/>
                <w:szCs w:val="24"/>
              </w:rPr>
              <w:t>for</w:t>
            </w:r>
            <w:r w:rsidR="003C766C" w:rsidRPr="00825A79">
              <w:rPr>
                <w:rFonts w:cs="Arial"/>
                <w:snapToGrid w:val="0"/>
                <w:szCs w:val="24"/>
              </w:rPr>
              <w:t xml:space="preserve"> </w:t>
            </w:r>
            <w:r w:rsidR="00224337">
              <w:rPr>
                <w:rFonts w:cs="Arial"/>
                <w:snapToGrid w:val="0"/>
                <w:szCs w:val="24"/>
              </w:rPr>
              <w:t>April 2016</w:t>
            </w:r>
            <w:r w:rsidR="0076359F" w:rsidRPr="00825A79">
              <w:rPr>
                <w:rFonts w:cs="Arial"/>
                <w:snapToGrid w:val="0"/>
                <w:szCs w:val="24"/>
              </w:rPr>
              <w:t xml:space="preserve"> following implementation of </w:t>
            </w:r>
            <w:r w:rsidR="00224337">
              <w:rPr>
                <w:rFonts w:cs="Arial"/>
                <w:snapToGrid w:val="0"/>
                <w:szCs w:val="24"/>
              </w:rPr>
              <w:t>local pay changes</w:t>
            </w:r>
            <w:r w:rsidR="00061434">
              <w:rPr>
                <w:rFonts w:cs="Arial"/>
                <w:snapToGrid w:val="0"/>
                <w:szCs w:val="24"/>
              </w:rPr>
              <w:t xml:space="preserve"> and April 2019 to reflect changes to national spinal column point numbering</w:t>
            </w:r>
            <w:r w:rsidR="00224337">
              <w:rPr>
                <w:rFonts w:cs="Arial"/>
                <w:snapToGrid w:val="0"/>
                <w:szCs w:val="24"/>
              </w:rPr>
              <w:t>)</w:t>
            </w:r>
            <w:r w:rsidR="00EF3710">
              <w:rPr>
                <w:rFonts w:cs="Arial"/>
                <w:b/>
                <w:snapToGrid w:val="0"/>
                <w:szCs w:val="24"/>
              </w:rPr>
              <w:t xml:space="preserve">. </w:t>
            </w:r>
            <w:r w:rsidR="00EF3710" w:rsidRPr="00EF3710">
              <w:rPr>
                <w:rFonts w:cs="Arial"/>
                <w:bCs/>
                <w:snapToGrid w:val="0"/>
                <w:szCs w:val="24"/>
              </w:rPr>
              <w:t>SCP  5 in Band 3 is the lowest pay point (excluding training posts)</w:t>
            </w:r>
          </w:p>
        </w:tc>
        <w:tc>
          <w:tcPr>
            <w:tcW w:w="1771" w:type="dxa"/>
          </w:tcPr>
          <w:p w14:paraId="45B9E058" w14:textId="77777777" w:rsidR="00F247C8" w:rsidRPr="00080E1E" w:rsidRDefault="00F247C8" w:rsidP="008F6A10">
            <w:pPr>
              <w:widowControl w:val="0"/>
              <w:rPr>
                <w:rFonts w:cs="Arial"/>
                <w:b/>
                <w:snapToGrid w:val="0"/>
                <w:szCs w:val="24"/>
              </w:rPr>
            </w:pPr>
          </w:p>
        </w:tc>
        <w:tc>
          <w:tcPr>
            <w:tcW w:w="168" w:type="dxa"/>
          </w:tcPr>
          <w:p w14:paraId="06E072CE" w14:textId="77777777" w:rsidR="00F247C8" w:rsidRPr="00080E1E" w:rsidRDefault="00F247C8" w:rsidP="008F6A10">
            <w:pPr>
              <w:widowControl w:val="0"/>
              <w:rPr>
                <w:rFonts w:cs="Arial"/>
                <w:b/>
                <w:snapToGrid w:val="0"/>
                <w:szCs w:val="24"/>
              </w:rPr>
            </w:pPr>
          </w:p>
        </w:tc>
      </w:tr>
      <w:tr w:rsidR="00F247C8" w:rsidRPr="008F6A10" w14:paraId="10C67FF5" w14:textId="77777777" w:rsidTr="00EF3710">
        <w:trPr>
          <w:trHeight w:val="224"/>
        </w:trPr>
        <w:tc>
          <w:tcPr>
            <w:tcW w:w="1436" w:type="dxa"/>
          </w:tcPr>
          <w:p w14:paraId="17981649" w14:textId="77777777" w:rsidR="00F247C8" w:rsidRPr="008F6A10" w:rsidRDefault="00F247C8" w:rsidP="008F6A10">
            <w:pPr>
              <w:widowControl w:val="0"/>
              <w:rPr>
                <w:rFonts w:cs="Arial"/>
                <w:snapToGrid w:val="0"/>
                <w:szCs w:val="24"/>
              </w:rPr>
            </w:pPr>
          </w:p>
        </w:tc>
        <w:tc>
          <w:tcPr>
            <w:tcW w:w="1436" w:type="dxa"/>
          </w:tcPr>
          <w:p w14:paraId="409B9D0D" w14:textId="77777777" w:rsidR="00F247C8" w:rsidRPr="008F6A10" w:rsidRDefault="00F247C8" w:rsidP="008F6A10">
            <w:pPr>
              <w:widowControl w:val="0"/>
              <w:rPr>
                <w:rFonts w:cs="Arial"/>
                <w:snapToGrid w:val="0"/>
                <w:szCs w:val="24"/>
              </w:rPr>
            </w:pPr>
          </w:p>
        </w:tc>
        <w:tc>
          <w:tcPr>
            <w:tcW w:w="421" w:type="dxa"/>
          </w:tcPr>
          <w:p w14:paraId="2CE4CDD8" w14:textId="77777777" w:rsidR="00F247C8" w:rsidRPr="008F6A10" w:rsidRDefault="00F247C8" w:rsidP="008F6A10">
            <w:pPr>
              <w:widowControl w:val="0"/>
              <w:rPr>
                <w:rFonts w:cs="Arial"/>
                <w:snapToGrid w:val="0"/>
                <w:szCs w:val="24"/>
              </w:rPr>
            </w:pPr>
          </w:p>
        </w:tc>
        <w:tc>
          <w:tcPr>
            <w:tcW w:w="1436" w:type="dxa"/>
          </w:tcPr>
          <w:p w14:paraId="60B9B44E" w14:textId="77777777" w:rsidR="00F247C8" w:rsidRPr="008F6A10" w:rsidRDefault="00F247C8" w:rsidP="008F6A10">
            <w:pPr>
              <w:widowControl w:val="0"/>
              <w:rPr>
                <w:rFonts w:cs="Arial"/>
                <w:snapToGrid w:val="0"/>
                <w:szCs w:val="24"/>
              </w:rPr>
            </w:pPr>
          </w:p>
        </w:tc>
        <w:tc>
          <w:tcPr>
            <w:tcW w:w="1438" w:type="dxa"/>
          </w:tcPr>
          <w:p w14:paraId="4F46F033" w14:textId="77777777" w:rsidR="00F247C8" w:rsidRPr="008F6A10" w:rsidRDefault="00F247C8" w:rsidP="008F6A10">
            <w:pPr>
              <w:widowControl w:val="0"/>
              <w:rPr>
                <w:rFonts w:cs="Arial"/>
                <w:snapToGrid w:val="0"/>
                <w:szCs w:val="24"/>
              </w:rPr>
            </w:pPr>
          </w:p>
        </w:tc>
        <w:tc>
          <w:tcPr>
            <w:tcW w:w="1771" w:type="dxa"/>
          </w:tcPr>
          <w:p w14:paraId="6F79A286" w14:textId="77777777" w:rsidR="00F247C8" w:rsidRPr="008F6A10" w:rsidRDefault="00F247C8" w:rsidP="008F6A10">
            <w:pPr>
              <w:widowControl w:val="0"/>
              <w:rPr>
                <w:rFonts w:cs="Arial"/>
                <w:snapToGrid w:val="0"/>
                <w:szCs w:val="24"/>
              </w:rPr>
            </w:pPr>
          </w:p>
        </w:tc>
        <w:tc>
          <w:tcPr>
            <w:tcW w:w="168" w:type="dxa"/>
          </w:tcPr>
          <w:p w14:paraId="285CF241" w14:textId="77777777" w:rsidR="00F247C8" w:rsidRPr="008F6A10" w:rsidRDefault="00F247C8" w:rsidP="008F6A10">
            <w:pPr>
              <w:widowControl w:val="0"/>
              <w:rPr>
                <w:rFonts w:cs="Arial"/>
                <w:snapToGrid w:val="0"/>
                <w:szCs w:val="24"/>
              </w:rPr>
            </w:pPr>
          </w:p>
        </w:tc>
      </w:tr>
      <w:tr w:rsidR="00F247C8" w:rsidRPr="008F6A10" w14:paraId="7ABDCE12" w14:textId="77777777" w:rsidTr="00EF3710">
        <w:trPr>
          <w:trHeight w:val="237"/>
        </w:trPr>
        <w:tc>
          <w:tcPr>
            <w:tcW w:w="1436" w:type="dxa"/>
          </w:tcPr>
          <w:p w14:paraId="2A279367" w14:textId="77777777" w:rsidR="00F247C8" w:rsidRPr="008F6A10" w:rsidRDefault="00F247C8" w:rsidP="008F6A10">
            <w:pPr>
              <w:widowControl w:val="0"/>
              <w:rPr>
                <w:rFonts w:cs="Arial"/>
                <w:snapToGrid w:val="0"/>
                <w:szCs w:val="24"/>
              </w:rPr>
            </w:pPr>
          </w:p>
        </w:tc>
        <w:tc>
          <w:tcPr>
            <w:tcW w:w="1436" w:type="dxa"/>
          </w:tcPr>
          <w:p w14:paraId="4B4E8F23" w14:textId="77777777" w:rsidR="00F247C8" w:rsidRPr="008F6A10" w:rsidRDefault="00F247C8" w:rsidP="008F6A10">
            <w:pPr>
              <w:widowControl w:val="0"/>
              <w:rPr>
                <w:rFonts w:cs="Arial"/>
                <w:snapToGrid w:val="0"/>
                <w:szCs w:val="24"/>
              </w:rPr>
            </w:pPr>
          </w:p>
        </w:tc>
        <w:tc>
          <w:tcPr>
            <w:tcW w:w="421" w:type="dxa"/>
          </w:tcPr>
          <w:p w14:paraId="1FD61ED0" w14:textId="77777777" w:rsidR="00F247C8" w:rsidRPr="008F6A10" w:rsidRDefault="00F247C8" w:rsidP="008F6A10">
            <w:pPr>
              <w:widowControl w:val="0"/>
              <w:rPr>
                <w:rFonts w:cs="Arial"/>
                <w:snapToGrid w:val="0"/>
                <w:szCs w:val="24"/>
              </w:rPr>
            </w:pPr>
          </w:p>
        </w:tc>
        <w:tc>
          <w:tcPr>
            <w:tcW w:w="1436" w:type="dxa"/>
          </w:tcPr>
          <w:p w14:paraId="7468D705" w14:textId="77777777" w:rsidR="00F247C8" w:rsidRPr="008F6A10" w:rsidRDefault="00F247C8" w:rsidP="008F6A10">
            <w:pPr>
              <w:widowControl w:val="0"/>
              <w:rPr>
                <w:rFonts w:cs="Arial"/>
                <w:snapToGrid w:val="0"/>
                <w:szCs w:val="24"/>
              </w:rPr>
            </w:pPr>
          </w:p>
        </w:tc>
        <w:tc>
          <w:tcPr>
            <w:tcW w:w="1438" w:type="dxa"/>
          </w:tcPr>
          <w:p w14:paraId="750DC343" w14:textId="77777777" w:rsidR="00F247C8" w:rsidRPr="008F6A10" w:rsidRDefault="00F247C8" w:rsidP="008F6A10">
            <w:pPr>
              <w:widowControl w:val="0"/>
              <w:rPr>
                <w:rFonts w:cs="Arial"/>
                <w:snapToGrid w:val="0"/>
                <w:szCs w:val="24"/>
              </w:rPr>
            </w:pPr>
          </w:p>
        </w:tc>
        <w:tc>
          <w:tcPr>
            <w:tcW w:w="1771" w:type="dxa"/>
          </w:tcPr>
          <w:p w14:paraId="2C08E9A3" w14:textId="77777777" w:rsidR="00F247C8" w:rsidRPr="008F6A10" w:rsidRDefault="00F247C8" w:rsidP="008F6A10">
            <w:pPr>
              <w:widowControl w:val="0"/>
              <w:rPr>
                <w:rFonts w:cs="Arial"/>
                <w:snapToGrid w:val="0"/>
                <w:szCs w:val="24"/>
              </w:rPr>
            </w:pPr>
          </w:p>
        </w:tc>
        <w:tc>
          <w:tcPr>
            <w:tcW w:w="168" w:type="dxa"/>
          </w:tcPr>
          <w:p w14:paraId="6CF7D546" w14:textId="77777777" w:rsidR="00F247C8" w:rsidRPr="008F6A10" w:rsidRDefault="00F247C8" w:rsidP="008F6A10">
            <w:pPr>
              <w:widowControl w:val="0"/>
              <w:rPr>
                <w:rFonts w:cs="Arial"/>
                <w:snapToGrid w:val="0"/>
                <w:szCs w:val="24"/>
              </w:rPr>
            </w:pPr>
          </w:p>
        </w:tc>
      </w:tr>
      <w:tr w:rsidR="00D67126" w:rsidRPr="008F6A10" w14:paraId="7B971CEE" w14:textId="77777777" w:rsidTr="00EF3710">
        <w:trPr>
          <w:trHeight w:val="685"/>
        </w:trPr>
        <w:tc>
          <w:tcPr>
            <w:tcW w:w="1436" w:type="dxa"/>
            <w:tcBorders>
              <w:top w:val="single" w:sz="6" w:space="0" w:color="auto"/>
              <w:left w:val="single" w:sz="6" w:space="0" w:color="auto"/>
            </w:tcBorders>
          </w:tcPr>
          <w:p w14:paraId="5E977B41" w14:textId="77777777" w:rsidR="00D67126" w:rsidRPr="008F6A10" w:rsidRDefault="00D67126" w:rsidP="00224337">
            <w:pPr>
              <w:widowControl w:val="0"/>
              <w:jc w:val="center"/>
              <w:rPr>
                <w:rFonts w:cs="Arial"/>
                <w:b/>
                <w:snapToGrid w:val="0"/>
                <w:szCs w:val="24"/>
              </w:rPr>
            </w:pPr>
            <w:r w:rsidRPr="008F6A10">
              <w:rPr>
                <w:rFonts w:cs="Arial"/>
                <w:b/>
                <w:snapToGrid w:val="0"/>
                <w:szCs w:val="24"/>
              </w:rPr>
              <w:t>Evaluated points for job</w:t>
            </w:r>
          </w:p>
        </w:tc>
        <w:tc>
          <w:tcPr>
            <w:tcW w:w="1436" w:type="dxa"/>
            <w:tcBorders>
              <w:top w:val="single" w:sz="6" w:space="0" w:color="auto"/>
              <w:right w:val="single" w:sz="6" w:space="0" w:color="auto"/>
            </w:tcBorders>
          </w:tcPr>
          <w:p w14:paraId="74604A0C" w14:textId="77777777" w:rsidR="00D67126" w:rsidRPr="008F6A10" w:rsidRDefault="00D67126" w:rsidP="00224337">
            <w:pPr>
              <w:widowControl w:val="0"/>
              <w:jc w:val="center"/>
              <w:rPr>
                <w:rFonts w:cs="Arial"/>
                <w:b/>
                <w:snapToGrid w:val="0"/>
                <w:szCs w:val="24"/>
              </w:rPr>
            </w:pPr>
          </w:p>
        </w:tc>
        <w:tc>
          <w:tcPr>
            <w:tcW w:w="421" w:type="dxa"/>
            <w:tcBorders>
              <w:top w:val="single" w:sz="6" w:space="0" w:color="auto"/>
              <w:left w:val="single" w:sz="6" w:space="0" w:color="auto"/>
            </w:tcBorders>
          </w:tcPr>
          <w:p w14:paraId="2D059B9B" w14:textId="77777777" w:rsidR="00D67126" w:rsidRPr="008F6A10" w:rsidRDefault="00D67126" w:rsidP="00224337">
            <w:pPr>
              <w:widowControl w:val="0"/>
              <w:jc w:val="center"/>
              <w:rPr>
                <w:rFonts w:cs="Arial"/>
                <w:b/>
                <w:snapToGrid w:val="0"/>
                <w:szCs w:val="24"/>
              </w:rPr>
            </w:pPr>
          </w:p>
        </w:tc>
        <w:tc>
          <w:tcPr>
            <w:tcW w:w="1436" w:type="dxa"/>
            <w:tcBorders>
              <w:top w:val="single" w:sz="6" w:space="0" w:color="auto"/>
              <w:right w:val="single" w:sz="6" w:space="0" w:color="auto"/>
            </w:tcBorders>
          </w:tcPr>
          <w:p w14:paraId="4B2F5CDA" w14:textId="77777777" w:rsidR="00D67126" w:rsidRPr="008F6A10" w:rsidRDefault="00D67126" w:rsidP="00224337">
            <w:pPr>
              <w:widowControl w:val="0"/>
              <w:ind w:left="-174"/>
              <w:jc w:val="center"/>
              <w:rPr>
                <w:rFonts w:cs="Arial"/>
                <w:b/>
                <w:snapToGrid w:val="0"/>
                <w:szCs w:val="24"/>
              </w:rPr>
            </w:pPr>
            <w:r w:rsidRPr="008F6A10">
              <w:rPr>
                <w:rFonts w:cs="Arial"/>
                <w:b/>
                <w:snapToGrid w:val="0"/>
                <w:szCs w:val="24"/>
              </w:rPr>
              <w:t>New grade</w:t>
            </w:r>
          </w:p>
        </w:tc>
        <w:tc>
          <w:tcPr>
            <w:tcW w:w="3209" w:type="dxa"/>
            <w:gridSpan w:val="2"/>
            <w:vMerge w:val="restart"/>
            <w:tcBorders>
              <w:top w:val="single" w:sz="6" w:space="0" w:color="auto"/>
              <w:left w:val="single" w:sz="6" w:space="0" w:color="auto"/>
              <w:right w:val="single" w:sz="6" w:space="0" w:color="auto"/>
            </w:tcBorders>
          </w:tcPr>
          <w:p w14:paraId="730A0556" w14:textId="77777777" w:rsidR="00D67126" w:rsidRPr="008F6A10" w:rsidRDefault="00D67126" w:rsidP="008F6A10">
            <w:pPr>
              <w:widowControl w:val="0"/>
              <w:rPr>
                <w:rFonts w:cs="Arial"/>
                <w:b/>
                <w:snapToGrid w:val="0"/>
                <w:szCs w:val="24"/>
              </w:rPr>
            </w:pPr>
            <w:r w:rsidRPr="008F6A10">
              <w:rPr>
                <w:rFonts w:cs="Arial"/>
                <w:b/>
                <w:snapToGrid w:val="0"/>
                <w:szCs w:val="24"/>
              </w:rPr>
              <w:t>National Spinal Column</w:t>
            </w:r>
          </w:p>
          <w:p w14:paraId="627BB4E4" w14:textId="77777777" w:rsidR="00D67126" w:rsidRDefault="00D67126" w:rsidP="00D67126">
            <w:pPr>
              <w:widowControl w:val="0"/>
              <w:rPr>
                <w:rFonts w:cs="Arial"/>
                <w:b/>
                <w:snapToGrid w:val="0"/>
                <w:szCs w:val="24"/>
              </w:rPr>
            </w:pPr>
            <w:r w:rsidRPr="008F6A10">
              <w:rPr>
                <w:rFonts w:cs="Arial"/>
                <w:b/>
                <w:snapToGrid w:val="0"/>
                <w:szCs w:val="24"/>
              </w:rPr>
              <w:t>Points in grade</w:t>
            </w:r>
            <w:r>
              <w:rPr>
                <w:rFonts w:cs="Arial"/>
                <w:b/>
                <w:snapToGrid w:val="0"/>
                <w:szCs w:val="24"/>
              </w:rPr>
              <w:t xml:space="preserve"> </w:t>
            </w:r>
          </w:p>
          <w:p w14:paraId="3ED78A63" w14:textId="77777777" w:rsidR="00D67126" w:rsidRPr="008F6A10" w:rsidRDefault="00D67126" w:rsidP="00D67126">
            <w:pPr>
              <w:widowControl w:val="0"/>
              <w:rPr>
                <w:rFonts w:cs="Arial"/>
                <w:b/>
                <w:snapToGrid w:val="0"/>
                <w:szCs w:val="24"/>
              </w:rPr>
            </w:pPr>
            <w:r>
              <w:rPr>
                <w:rFonts w:cs="Arial"/>
                <w:b/>
                <w:snapToGrid w:val="0"/>
                <w:szCs w:val="24"/>
              </w:rPr>
              <w:t>Revised April 2019</w:t>
            </w:r>
          </w:p>
        </w:tc>
        <w:tc>
          <w:tcPr>
            <w:tcW w:w="168" w:type="dxa"/>
          </w:tcPr>
          <w:p w14:paraId="6DE4BF98" w14:textId="77777777" w:rsidR="00D67126" w:rsidRPr="008F6A10" w:rsidRDefault="00D67126" w:rsidP="008F6A10">
            <w:pPr>
              <w:widowControl w:val="0"/>
              <w:rPr>
                <w:rFonts w:cs="Arial"/>
                <w:b/>
                <w:snapToGrid w:val="0"/>
                <w:szCs w:val="24"/>
              </w:rPr>
            </w:pPr>
          </w:p>
        </w:tc>
      </w:tr>
      <w:tr w:rsidR="00D67126" w:rsidRPr="008F6A10" w14:paraId="05111452" w14:textId="77777777" w:rsidTr="00EF3710">
        <w:trPr>
          <w:trHeight w:val="685"/>
        </w:trPr>
        <w:tc>
          <w:tcPr>
            <w:tcW w:w="1436" w:type="dxa"/>
            <w:tcBorders>
              <w:left w:val="single" w:sz="6" w:space="0" w:color="auto"/>
              <w:bottom w:val="single" w:sz="6" w:space="0" w:color="auto"/>
            </w:tcBorders>
          </w:tcPr>
          <w:p w14:paraId="6F3DDA42" w14:textId="77777777" w:rsidR="00D67126" w:rsidRPr="008F6A10" w:rsidRDefault="00D67126" w:rsidP="00224337">
            <w:pPr>
              <w:widowControl w:val="0"/>
              <w:jc w:val="center"/>
              <w:rPr>
                <w:rFonts w:cs="Arial"/>
                <w:b/>
                <w:snapToGrid w:val="0"/>
                <w:szCs w:val="24"/>
              </w:rPr>
            </w:pPr>
          </w:p>
        </w:tc>
        <w:tc>
          <w:tcPr>
            <w:tcW w:w="1436" w:type="dxa"/>
            <w:tcBorders>
              <w:bottom w:val="single" w:sz="6" w:space="0" w:color="auto"/>
              <w:right w:val="single" w:sz="6" w:space="0" w:color="auto"/>
            </w:tcBorders>
          </w:tcPr>
          <w:p w14:paraId="32EB034C" w14:textId="77777777" w:rsidR="00D67126" w:rsidRPr="008F6A10" w:rsidRDefault="00D67126" w:rsidP="00224337">
            <w:pPr>
              <w:widowControl w:val="0"/>
              <w:jc w:val="center"/>
              <w:rPr>
                <w:rFonts w:cs="Arial"/>
                <w:b/>
                <w:snapToGrid w:val="0"/>
                <w:szCs w:val="24"/>
              </w:rPr>
            </w:pPr>
          </w:p>
        </w:tc>
        <w:tc>
          <w:tcPr>
            <w:tcW w:w="421" w:type="dxa"/>
            <w:tcBorders>
              <w:left w:val="single" w:sz="6" w:space="0" w:color="auto"/>
              <w:bottom w:val="single" w:sz="6" w:space="0" w:color="auto"/>
            </w:tcBorders>
          </w:tcPr>
          <w:p w14:paraId="7CEA550B" w14:textId="77777777" w:rsidR="00D67126" w:rsidRPr="008F6A10" w:rsidRDefault="00D67126" w:rsidP="00224337">
            <w:pPr>
              <w:widowControl w:val="0"/>
              <w:jc w:val="center"/>
              <w:rPr>
                <w:rFonts w:cs="Arial"/>
                <w:b/>
                <w:snapToGrid w:val="0"/>
                <w:szCs w:val="24"/>
              </w:rPr>
            </w:pPr>
          </w:p>
        </w:tc>
        <w:tc>
          <w:tcPr>
            <w:tcW w:w="1436" w:type="dxa"/>
            <w:tcBorders>
              <w:bottom w:val="single" w:sz="6" w:space="0" w:color="auto"/>
              <w:right w:val="single" w:sz="6" w:space="0" w:color="auto"/>
            </w:tcBorders>
          </w:tcPr>
          <w:p w14:paraId="44CD906A" w14:textId="77777777" w:rsidR="00D67126" w:rsidRPr="008F6A10" w:rsidRDefault="00D67126" w:rsidP="00224337">
            <w:pPr>
              <w:widowControl w:val="0"/>
              <w:jc w:val="center"/>
              <w:rPr>
                <w:rFonts w:cs="Arial"/>
                <w:b/>
                <w:snapToGrid w:val="0"/>
                <w:szCs w:val="24"/>
              </w:rPr>
            </w:pPr>
          </w:p>
        </w:tc>
        <w:tc>
          <w:tcPr>
            <w:tcW w:w="3209" w:type="dxa"/>
            <w:gridSpan w:val="2"/>
            <w:vMerge/>
            <w:tcBorders>
              <w:left w:val="single" w:sz="6" w:space="0" w:color="auto"/>
              <w:bottom w:val="single" w:sz="6" w:space="0" w:color="auto"/>
              <w:right w:val="single" w:sz="6" w:space="0" w:color="auto"/>
            </w:tcBorders>
          </w:tcPr>
          <w:p w14:paraId="1D2A1172" w14:textId="77777777" w:rsidR="00D67126" w:rsidRPr="008F6A10" w:rsidRDefault="00D67126" w:rsidP="008F6A10">
            <w:pPr>
              <w:widowControl w:val="0"/>
              <w:rPr>
                <w:rFonts w:cs="Arial"/>
                <w:b/>
                <w:snapToGrid w:val="0"/>
                <w:szCs w:val="24"/>
              </w:rPr>
            </w:pPr>
          </w:p>
        </w:tc>
        <w:tc>
          <w:tcPr>
            <w:tcW w:w="168" w:type="dxa"/>
          </w:tcPr>
          <w:p w14:paraId="71EBFB35" w14:textId="77777777" w:rsidR="00D67126" w:rsidRPr="008F6A10" w:rsidRDefault="00D67126" w:rsidP="008F6A10">
            <w:pPr>
              <w:widowControl w:val="0"/>
              <w:rPr>
                <w:rFonts w:cs="Arial"/>
                <w:b/>
                <w:snapToGrid w:val="0"/>
                <w:szCs w:val="24"/>
              </w:rPr>
            </w:pPr>
          </w:p>
        </w:tc>
      </w:tr>
      <w:tr w:rsidR="00F247C8" w:rsidRPr="008F6A10" w14:paraId="652627AE" w14:textId="77777777" w:rsidTr="00EF3710">
        <w:trPr>
          <w:trHeight w:val="224"/>
        </w:trPr>
        <w:tc>
          <w:tcPr>
            <w:tcW w:w="1436" w:type="dxa"/>
            <w:tcBorders>
              <w:top w:val="single" w:sz="6" w:space="0" w:color="auto"/>
              <w:left w:val="single" w:sz="6" w:space="0" w:color="auto"/>
              <w:bottom w:val="single" w:sz="6" w:space="0" w:color="auto"/>
              <w:right w:val="single" w:sz="6" w:space="0" w:color="auto"/>
            </w:tcBorders>
          </w:tcPr>
          <w:p w14:paraId="7B454F33" w14:textId="77777777" w:rsidR="00F247C8" w:rsidRPr="008F6A10" w:rsidRDefault="00F247C8" w:rsidP="008F6A10">
            <w:pPr>
              <w:widowControl w:val="0"/>
              <w:jc w:val="center"/>
              <w:rPr>
                <w:rFonts w:cs="Arial"/>
                <w:snapToGrid w:val="0"/>
                <w:szCs w:val="24"/>
              </w:rPr>
            </w:pPr>
            <w:r w:rsidRPr="008F6A10">
              <w:rPr>
                <w:rFonts w:cs="Arial"/>
                <w:snapToGrid w:val="0"/>
                <w:szCs w:val="24"/>
              </w:rPr>
              <w:t>From</w:t>
            </w:r>
          </w:p>
        </w:tc>
        <w:tc>
          <w:tcPr>
            <w:tcW w:w="1436" w:type="dxa"/>
            <w:tcBorders>
              <w:top w:val="single" w:sz="6" w:space="0" w:color="auto"/>
              <w:left w:val="single" w:sz="6" w:space="0" w:color="auto"/>
              <w:bottom w:val="single" w:sz="6" w:space="0" w:color="auto"/>
              <w:right w:val="single" w:sz="6" w:space="0" w:color="auto"/>
            </w:tcBorders>
          </w:tcPr>
          <w:p w14:paraId="2CFC4752" w14:textId="77777777" w:rsidR="00F247C8" w:rsidRPr="008F6A10" w:rsidRDefault="00F247C8" w:rsidP="008F6A10">
            <w:pPr>
              <w:widowControl w:val="0"/>
              <w:jc w:val="center"/>
              <w:rPr>
                <w:rFonts w:cs="Arial"/>
                <w:snapToGrid w:val="0"/>
                <w:szCs w:val="24"/>
              </w:rPr>
            </w:pPr>
            <w:r w:rsidRPr="008F6A10">
              <w:rPr>
                <w:rFonts w:cs="Arial"/>
                <w:snapToGrid w:val="0"/>
                <w:szCs w:val="24"/>
              </w:rPr>
              <w:t>To</w:t>
            </w:r>
          </w:p>
        </w:tc>
        <w:tc>
          <w:tcPr>
            <w:tcW w:w="421" w:type="dxa"/>
            <w:tcBorders>
              <w:top w:val="single" w:sz="6" w:space="0" w:color="auto"/>
              <w:left w:val="single" w:sz="6" w:space="0" w:color="auto"/>
              <w:bottom w:val="single" w:sz="6" w:space="0" w:color="auto"/>
            </w:tcBorders>
          </w:tcPr>
          <w:p w14:paraId="6548EEED" w14:textId="77777777" w:rsidR="00F247C8" w:rsidRPr="008F6A10" w:rsidRDefault="00F247C8" w:rsidP="008F6A10">
            <w:pPr>
              <w:widowControl w:val="0"/>
              <w:jc w:val="center"/>
              <w:rPr>
                <w:rFonts w:cs="Arial"/>
                <w:snapToGrid w:val="0"/>
                <w:szCs w:val="24"/>
              </w:rPr>
            </w:pPr>
          </w:p>
        </w:tc>
        <w:tc>
          <w:tcPr>
            <w:tcW w:w="1436" w:type="dxa"/>
            <w:tcBorders>
              <w:top w:val="single" w:sz="6" w:space="0" w:color="auto"/>
              <w:bottom w:val="single" w:sz="6" w:space="0" w:color="auto"/>
              <w:right w:val="single" w:sz="6" w:space="0" w:color="auto"/>
            </w:tcBorders>
          </w:tcPr>
          <w:p w14:paraId="3A02E7A5" w14:textId="77777777" w:rsidR="00F247C8" w:rsidRPr="008F6A10" w:rsidRDefault="00F247C8" w:rsidP="008F6A10">
            <w:pPr>
              <w:widowControl w:val="0"/>
              <w:rPr>
                <w:rFonts w:cs="Arial"/>
                <w:snapToGrid w:val="0"/>
                <w:szCs w:val="24"/>
              </w:rPr>
            </w:pPr>
          </w:p>
        </w:tc>
        <w:tc>
          <w:tcPr>
            <w:tcW w:w="1438" w:type="dxa"/>
            <w:tcBorders>
              <w:top w:val="single" w:sz="6" w:space="0" w:color="auto"/>
              <w:left w:val="single" w:sz="6" w:space="0" w:color="auto"/>
              <w:bottom w:val="single" w:sz="6" w:space="0" w:color="auto"/>
              <w:right w:val="single" w:sz="6" w:space="0" w:color="auto"/>
            </w:tcBorders>
          </w:tcPr>
          <w:p w14:paraId="1C7D6DD9" w14:textId="77777777" w:rsidR="00F247C8" w:rsidRPr="008F6A10" w:rsidRDefault="00F247C8" w:rsidP="008F6A10">
            <w:pPr>
              <w:widowControl w:val="0"/>
              <w:jc w:val="center"/>
              <w:rPr>
                <w:rFonts w:cs="Arial"/>
                <w:snapToGrid w:val="0"/>
                <w:szCs w:val="24"/>
              </w:rPr>
            </w:pPr>
            <w:r w:rsidRPr="008F6A10">
              <w:rPr>
                <w:rFonts w:cs="Arial"/>
                <w:snapToGrid w:val="0"/>
                <w:szCs w:val="24"/>
              </w:rPr>
              <w:t xml:space="preserve">From </w:t>
            </w:r>
          </w:p>
        </w:tc>
        <w:tc>
          <w:tcPr>
            <w:tcW w:w="1771" w:type="dxa"/>
            <w:tcBorders>
              <w:top w:val="single" w:sz="6" w:space="0" w:color="auto"/>
              <w:bottom w:val="single" w:sz="6" w:space="0" w:color="auto"/>
              <w:right w:val="single" w:sz="6" w:space="0" w:color="auto"/>
            </w:tcBorders>
          </w:tcPr>
          <w:p w14:paraId="12EBED8F" w14:textId="77777777" w:rsidR="00F247C8" w:rsidRPr="008F6A10" w:rsidRDefault="00F247C8" w:rsidP="008F6A10">
            <w:pPr>
              <w:widowControl w:val="0"/>
              <w:jc w:val="center"/>
              <w:rPr>
                <w:rFonts w:cs="Arial"/>
                <w:snapToGrid w:val="0"/>
                <w:szCs w:val="24"/>
              </w:rPr>
            </w:pPr>
            <w:r w:rsidRPr="008F6A10">
              <w:rPr>
                <w:rFonts w:cs="Arial"/>
                <w:snapToGrid w:val="0"/>
                <w:szCs w:val="24"/>
              </w:rPr>
              <w:t>To</w:t>
            </w:r>
          </w:p>
        </w:tc>
        <w:tc>
          <w:tcPr>
            <w:tcW w:w="168" w:type="dxa"/>
          </w:tcPr>
          <w:p w14:paraId="0005449F" w14:textId="77777777" w:rsidR="00F247C8" w:rsidRPr="008F6A10" w:rsidRDefault="00F247C8" w:rsidP="008F6A10">
            <w:pPr>
              <w:widowControl w:val="0"/>
              <w:rPr>
                <w:rFonts w:cs="Arial"/>
                <w:snapToGrid w:val="0"/>
                <w:szCs w:val="24"/>
              </w:rPr>
            </w:pPr>
          </w:p>
        </w:tc>
      </w:tr>
      <w:tr w:rsidR="00F247C8" w:rsidRPr="008F6A10" w14:paraId="22000D91" w14:textId="77777777" w:rsidTr="00EF3710">
        <w:trPr>
          <w:trHeight w:val="237"/>
        </w:trPr>
        <w:tc>
          <w:tcPr>
            <w:tcW w:w="1436" w:type="dxa"/>
            <w:tcBorders>
              <w:left w:val="single" w:sz="6" w:space="0" w:color="auto"/>
              <w:right w:val="single" w:sz="6" w:space="0" w:color="auto"/>
            </w:tcBorders>
          </w:tcPr>
          <w:p w14:paraId="03CD2697" w14:textId="77777777" w:rsidR="00F247C8" w:rsidRPr="008F6A10" w:rsidRDefault="00F247C8" w:rsidP="008F6A10">
            <w:pPr>
              <w:widowControl w:val="0"/>
              <w:jc w:val="center"/>
              <w:rPr>
                <w:rFonts w:cs="Arial"/>
                <w:snapToGrid w:val="0"/>
                <w:szCs w:val="24"/>
              </w:rPr>
            </w:pPr>
            <w:r w:rsidRPr="008F6A10">
              <w:rPr>
                <w:rFonts w:cs="Arial"/>
                <w:snapToGrid w:val="0"/>
                <w:szCs w:val="24"/>
              </w:rPr>
              <w:t>200</w:t>
            </w:r>
          </w:p>
        </w:tc>
        <w:tc>
          <w:tcPr>
            <w:tcW w:w="1436" w:type="dxa"/>
            <w:tcBorders>
              <w:left w:val="single" w:sz="6" w:space="0" w:color="auto"/>
              <w:right w:val="single" w:sz="6" w:space="0" w:color="auto"/>
            </w:tcBorders>
          </w:tcPr>
          <w:p w14:paraId="704E312A" w14:textId="77777777" w:rsidR="00F247C8" w:rsidRPr="008F6A10" w:rsidRDefault="00F247C8" w:rsidP="008F6A10">
            <w:pPr>
              <w:widowControl w:val="0"/>
              <w:jc w:val="center"/>
              <w:rPr>
                <w:rFonts w:cs="Arial"/>
                <w:snapToGrid w:val="0"/>
                <w:szCs w:val="24"/>
              </w:rPr>
            </w:pPr>
            <w:r w:rsidRPr="008F6A10">
              <w:rPr>
                <w:rFonts w:cs="Arial"/>
                <w:snapToGrid w:val="0"/>
                <w:szCs w:val="24"/>
              </w:rPr>
              <w:t>270</w:t>
            </w:r>
          </w:p>
        </w:tc>
        <w:tc>
          <w:tcPr>
            <w:tcW w:w="421" w:type="dxa"/>
            <w:tcBorders>
              <w:left w:val="single" w:sz="6" w:space="0" w:color="auto"/>
            </w:tcBorders>
          </w:tcPr>
          <w:p w14:paraId="02C10EF3"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436728F7" w14:textId="77777777" w:rsidR="00F247C8" w:rsidRPr="008F6A10" w:rsidRDefault="00F247C8" w:rsidP="008F6A10">
            <w:pPr>
              <w:widowControl w:val="0"/>
              <w:rPr>
                <w:rFonts w:cs="Arial"/>
                <w:snapToGrid w:val="0"/>
                <w:szCs w:val="24"/>
              </w:rPr>
            </w:pPr>
            <w:r w:rsidRPr="008F6A10">
              <w:rPr>
                <w:rFonts w:cs="Arial"/>
                <w:snapToGrid w:val="0"/>
                <w:szCs w:val="24"/>
              </w:rPr>
              <w:t>Band 1</w:t>
            </w:r>
          </w:p>
        </w:tc>
        <w:tc>
          <w:tcPr>
            <w:tcW w:w="1438" w:type="dxa"/>
            <w:tcBorders>
              <w:left w:val="single" w:sz="6" w:space="0" w:color="auto"/>
              <w:right w:val="single" w:sz="6" w:space="0" w:color="auto"/>
            </w:tcBorders>
          </w:tcPr>
          <w:p w14:paraId="679B5769" w14:textId="77777777" w:rsidR="00F247C8" w:rsidRPr="008F6A10" w:rsidRDefault="00D67126" w:rsidP="00D67126">
            <w:pPr>
              <w:widowControl w:val="0"/>
              <w:jc w:val="center"/>
              <w:rPr>
                <w:rFonts w:cs="Arial"/>
                <w:snapToGrid w:val="0"/>
                <w:szCs w:val="24"/>
              </w:rPr>
            </w:pPr>
            <w:r>
              <w:rPr>
                <w:rFonts w:cs="Arial"/>
                <w:snapToGrid w:val="0"/>
                <w:szCs w:val="24"/>
              </w:rPr>
              <w:t>1</w:t>
            </w:r>
          </w:p>
        </w:tc>
        <w:tc>
          <w:tcPr>
            <w:tcW w:w="1771" w:type="dxa"/>
            <w:tcBorders>
              <w:right w:val="single" w:sz="6" w:space="0" w:color="auto"/>
            </w:tcBorders>
          </w:tcPr>
          <w:p w14:paraId="4D753328" w14:textId="77777777" w:rsidR="00F247C8" w:rsidRPr="008F6A10" w:rsidRDefault="00D67126" w:rsidP="00D67126">
            <w:pPr>
              <w:widowControl w:val="0"/>
              <w:jc w:val="center"/>
              <w:rPr>
                <w:rFonts w:cs="Arial"/>
                <w:snapToGrid w:val="0"/>
                <w:szCs w:val="24"/>
              </w:rPr>
            </w:pPr>
            <w:r>
              <w:rPr>
                <w:rFonts w:cs="Arial"/>
                <w:snapToGrid w:val="0"/>
                <w:szCs w:val="24"/>
              </w:rPr>
              <w:t>1</w:t>
            </w:r>
          </w:p>
        </w:tc>
        <w:tc>
          <w:tcPr>
            <w:tcW w:w="168" w:type="dxa"/>
          </w:tcPr>
          <w:p w14:paraId="24386178" w14:textId="77777777" w:rsidR="00F247C8" w:rsidRPr="008F6A10" w:rsidRDefault="00F247C8" w:rsidP="008F6A10">
            <w:pPr>
              <w:widowControl w:val="0"/>
              <w:rPr>
                <w:rFonts w:cs="Arial"/>
                <w:snapToGrid w:val="0"/>
                <w:szCs w:val="24"/>
              </w:rPr>
            </w:pPr>
          </w:p>
        </w:tc>
      </w:tr>
      <w:tr w:rsidR="00F247C8" w:rsidRPr="008F6A10" w14:paraId="43E55290" w14:textId="77777777" w:rsidTr="00EF3710">
        <w:trPr>
          <w:trHeight w:val="224"/>
        </w:trPr>
        <w:tc>
          <w:tcPr>
            <w:tcW w:w="1436" w:type="dxa"/>
            <w:tcBorders>
              <w:left w:val="single" w:sz="6" w:space="0" w:color="auto"/>
              <w:right w:val="single" w:sz="6" w:space="0" w:color="auto"/>
            </w:tcBorders>
          </w:tcPr>
          <w:p w14:paraId="77152666" w14:textId="77777777" w:rsidR="00F247C8" w:rsidRPr="008F6A10" w:rsidRDefault="00F247C8" w:rsidP="008F6A10">
            <w:pPr>
              <w:widowControl w:val="0"/>
              <w:jc w:val="center"/>
              <w:rPr>
                <w:rFonts w:cs="Arial"/>
                <w:snapToGrid w:val="0"/>
                <w:szCs w:val="24"/>
              </w:rPr>
            </w:pPr>
            <w:r w:rsidRPr="008F6A10">
              <w:rPr>
                <w:rFonts w:cs="Arial"/>
                <w:snapToGrid w:val="0"/>
                <w:szCs w:val="24"/>
              </w:rPr>
              <w:t>271</w:t>
            </w:r>
          </w:p>
        </w:tc>
        <w:tc>
          <w:tcPr>
            <w:tcW w:w="1436" w:type="dxa"/>
            <w:tcBorders>
              <w:left w:val="single" w:sz="6" w:space="0" w:color="auto"/>
              <w:right w:val="single" w:sz="6" w:space="0" w:color="auto"/>
            </w:tcBorders>
          </w:tcPr>
          <w:p w14:paraId="016F1623" w14:textId="77777777" w:rsidR="00F247C8" w:rsidRPr="008F6A10" w:rsidRDefault="00F247C8" w:rsidP="008F6A10">
            <w:pPr>
              <w:widowControl w:val="0"/>
              <w:jc w:val="center"/>
              <w:rPr>
                <w:rFonts w:cs="Arial"/>
                <w:snapToGrid w:val="0"/>
                <w:szCs w:val="24"/>
              </w:rPr>
            </w:pPr>
            <w:r w:rsidRPr="008F6A10">
              <w:rPr>
                <w:rFonts w:cs="Arial"/>
                <w:snapToGrid w:val="0"/>
                <w:szCs w:val="24"/>
              </w:rPr>
              <w:t>310</w:t>
            </w:r>
          </w:p>
        </w:tc>
        <w:tc>
          <w:tcPr>
            <w:tcW w:w="421" w:type="dxa"/>
            <w:tcBorders>
              <w:left w:val="single" w:sz="6" w:space="0" w:color="auto"/>
            </w:tcBorders>
          </w:tcPr>
          <w:p w14:paraId="1DB0F297"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28575556" w14:textId="77777777" w:rsidR="00F247C8" w:rsidRPr="008F6A10" w:rsidRDefault="00F247C8" w:rsidP="008F6A10">
            <w:pPr>
              <w:widowControl w:val="0"/>
              <w:rPr>
                <w:rFonts w:cs="Arial"/>
                <w:snapToGrid w:val="0"/>
                <w:szCs w:val="24"/>
              </w:rPr>
            </w:pPr>
            <w:r w:rsidRPr="008F6A10">
              <w:rPr>
                <w:rFonts w:cs="Arial"/>
                <w:snapToGrid w:val="0"/>
                <w:szCs w:val="24"/>
              </w:rPr>
              <w:t>Band 2</w:t>
            </w:r>
          </w:p>
        </w:tc>
        <w:tc>
          <w:tcPr>
            <w:tcW w:w="1438" w:type="dxa"/>
            <w:tcBorders>
              <w:left w:val="single" w:sz="6" w:space="0" w:color="auto"/>
              <w:right w:val="single" w:sz="6" w:space="0" w:color="auto"/>
            </w:tcBorders>
          </w:tcPr>
          <w:p w14:paraId="3971985A" w14:textId="77777777" w:rsidR="00F247C8" w:rsidRPr="008F6A10" w:rsidRDefault="00D67126" w:rsidP="00D67126">
            <w:pPr>
              <w:widowControl w:val="0"/>
              <w:jc w:val="center"/>
              <w:rPr>
                <w:rFonts w:cs="Arial"/>
                <w:snapToGrid w:val="0"/>
                <w:szCs w:val="24"/>
              </w:rPr>
            </w:pPr>
            <w:r>
              <w:rPr>
                <w:rFonts w:cs="Arial"/>
                <w:snapToGrid w:val="0"/>
                <w:szCs w:val="24"/>
              </w:rPr>
              <w:t>2</w:t>
            </w:r>
          </w:p>
        </w:tc>
        <w:tc>
          <w:tcPr>
            <w:tcW w:w="1771" w:type="dxa"/>
            <w:tcBorders>
              <w:right w:val="single" w:sz="6" w:space="0" w:color="auto"/>
            </w:tcBorders>
          </w:tcPr>
          <w:p w14:paraId="55EE7731" w14:textId="77777777" w:rsidR="00F247C8" w:rsidRPr="008F6A10" w:rsidRDefault="00D67126" w:rsidP="00224337">
            <w:pPr>
              <w:widowControl w:val="0"/>
              <w:jc w:val="center"/>
              <w:rPr>
                <w:rFonts w:cs="Arial"/>
                <w:snapToGrid w:val="0"/>
                <w:szCs w:val="24"/>
              </w:rPr>
            </w:pPr>
            <w:r>
              <w:rPr>
                <w:rFonts w:cs="Arial"/>
                <w:snapToGrid w:val="0"/>
                <w:szCs w:val="24"/>
              </w:rPr>
              <w:t>3</w:t>
            </w:r>
          </w:p>
        </w:tc>
        <w:tc>
          <w:tcPr>
            <w:tcW w:w="168" w:type="dxa"/>
          </w:tcPr>
          <w:p w14:paraId="385F87B1" w14:textId="77777777" w:rsidR="00F247C8" w:rsidRPr="008F6A10" w:rsidRDefault="00F247C8" w:rsidP="008F6A10">
            <w:pPr>
              <w:widowControl w:val="0"/>
              <w:rPr>
                <w:rFonts w:cs="Arial"/>
                <w:snapToGrid w:val="0"/>
                <w:szCs w:val="24"/>
              </w:rPr>
            </w:pPr>
          </w:p>
        </w:tc>
      </w:tr>
      <w:tr w:rsidR="00F247C8" w:rsidRPr="008F6A10" w14:paraId="18371861" w14:textId="77777777" w:rsidTr="00EF3710">
        <w:trPr>
          <w:trHeight w:val="237"/>
        </w:trPr>
        <w:tc>
          <w:tcPr>
            <w:tcW w:w="1436" w:type="dxa"/>
            <w:tcBorders>
              <w:left w:val="single" w:sz="6" w:space="0" w:color="auto"/>
              <w:right w:val="single" w:sz="6" w:space="0" w:color="auto"/>
            </w:tcBorders>
          </w:tcPr>
          <w:p w14:paraId="4F9D402B" w14:textId="77777777" w:rsidR="00F247C8" w:rsidRPr="008F6A10" w:rsidRDefault="00F247C8" w:rsidP="008F6A10">
            <w:pPr>
              <w:widowControl w:val="0"/>
              <w:jc w:val="center"/>
              <w:rPr>
                <w:rFonts w:cs="Arial"/>
                <w:snapToGrid w:val="0"/>
                <w:szCs w:val="24"/>
              </w:rPr>
            </w:pPr>
            <w:r w:rsidRPr="008F6A10">
              <w:rPr>
                <w:rFonts w:cs="Arial"/>
                <w:snapToGrid w:val="0"/>
                <w:szCs w:val="24"/>
              </w:rPr>
              <w:t>311</w:t>
            </w:r>
          </w:p>
        </w:tc>
        <w:tc>
          <w:tcPr>
            <w:tcW w:w="1436" w:type="dxa"/>
            <w:tcBorders>
              <w:left w:val="single" w:sz="6" w:space="0" w:color="auto"/>
              <w:right w:val="single" w:sz="6" w:space="0" w:color="auto"/>
            </w:tcBorders>
          </w:tcPr>
          <w:p w14:paraId="5EB39400" w14:textId="77777777" w:rsidR="00F247C8" w:rsidRPr="008F6A10" w:rsidRDefault="00F247C8" w:rsidP="008F6A10">
            <w:pPr>
              <w:widowControl w:val="0"/>
              <w:jc w:val="center"/>
              <w:rPr>
                <w:rFonts w:cs="Arial"/>
                <w:snapToGrid w:val="0"/>
                <w:szCs w:val="24"/>
              </w:rPr>
            </w:pPr>
            <w:r w:rsidRPr="008F6A10">
              <w:rPr>
                <w:rFonts w:cs="Arial"/>
                <w:snapToGrid w:val="0"/>
                <w:szCs w:val="24"/>
              </w:rPr>
              <w:t>350</w:t>
            </w:r>
          </w:p>
        </w:tc>
        <w:tc>
          <w:tcPr>
            <w:tcW w:w="421" w:type="dxa"/>
            <w:tcBorders>
              <w:left w:val="single" w:sz="6" w:space="0" w:color="auto"/>
            </w:tcBorders>
          </w:tcPr>
          <w:p w14:paraId="2A41B0CC"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3528520F" w14:textId="77777777" w:rsidR="00F247C8" w:rsidRPr="008F6A10" w:rsidRDefault="00F247C8" w:rsidP="008F6A10">
            <w:pPr>
              <w:widowControl w:val="0"/>
              <w:rPr>
                <w:rFonts w:cs="Arial"/>
                <w:snapToGrid w:val="0"/>
                <w:szCs w:val="24"/>
              </w:rPr>
            </w:pPr>
            <w:r w:rsidRPr="008F6A10">
              <w:rPr>
                <w:rFonts w:cs="Arial"/>
                <w:snapToGrid w:val="0"/>
                <w:szCs w:val="24"/>
              </w:rPr>
              <w:t>Band 3</w:t>
            </w:r>
          </w:p>
        </w:tc>
        <w:tc>
          <w:tcPr>
            <w:tcW w:w="1438" w:type="dxa"/>
            <w:tcBorders>
              <w:left w:val="single" w:sz="6" w:space="0" w:color="auto"/>
              <w:right w:val="single" w:sz="6" w:space="0" w:color="auto"/>
            </w:tcBorders>
          </w:tcPr>
          <w:p w14:paraId="66E0DC05" w14:textId="77777777" w:rsidR="00F247C8" w:rsidRPr="008F6A10" w:rsidRDefault="00D67126" w:rsidP="00224337">
            <w:pPr>
              <w:widowControl w:val="0"/>
              <w:jc w:val="center"/>
              <w:rPr>
                <w:rFonts w:cs="Arial"/>
                <w:snapToGrid w:val="0"/>
                <w:szCs w:val="24"/>
              </w:rPr>
            </w:pPr>
            <w:r>
              <w:rPr>
                <w:rFonts w:cs="Arial"/>
                <w:snapToGrid w:val="0"/>
                <w:szCs w:val="24"/>
              </w:rPr>
              <w:t>4</w:t>
            </w:r>
          </w:p>
        </w:tc>
        <w:tc>
          <w:tcPr>
            <w:tcW w:w="1771" w:type="dxa"/>
            <w:tcBorders>
              <w:right w:val="single" w:sz="6" w:space="0" w:color="auto"/>
            </w:tcBorders>
          </w:tcPr>
          <w:p w14:paraId="5B658C19" w14:textId="77777777" w:rsidR="00F247C8" w:rsidRPr="008F6A10" w:rsidRDefault="00D67126" w:rsidP="00224337">
            <w:pPr>
              <w:widowControl w:val="0"/>
              <w:jc w:val="center"/>
              <w:rPr>
                <w:rFonts w:cs="Arial"/>
                <w:snapToGrid w:val="0"/>
                <w:szCs w:val="24"/>
              </w:rPr>
            </w:pPr>
            <w:r>
              <w:rPr>
                <w:rFonts w:cs="Arial"/>
                <w:snapToGrid w:val="0"/>
                <w:szCs w:val="24"/>
              </w:rPr>
              <w:t>5</w:t>
            </w:r>
          </w:p>
        </w:tc>
        <w:tc>
          <w:tcPr>
            <w:tcW w:w="168" w:type="dxa"/>
          </w:tcPr>
          <w:p w14:paraId="61BC8494" w14:textId="77777777" w:rsidR="00F247C8" w:rsidRPr="008F6A10" w:rsidRDefault="00F247C8" w:rsidP="008F6A10">
            <w:pPr>
              <w:widowControl w:val="0"/>
              <w:rPr>
                <w:rFonts w:cs="Arial"/>
                <w:snapToGrid w:val="0"/>
                <w:szCs w:val="24"/>
              </w:rPr>
            </w:pPr>
          </w:p>
        </w:tc>
      </w:tr>
      <w:tr w:rsidR="00F247C8" w:rsidRPr="008F6A10" w14:paraId="56257B45" w14:textId="77777777" w:rsidTr="00EF3710">
        <w:trPr>
          <w:trHeight w:val="224"/>
        </w:trPr>
        <w:tc>
          <w:tcPr>
            <w:tcW w:w="1436" w:type="dxa"/>
            <w:tcBorders>
              <w:left w:val="single" w:sz="6" w:space="0" w:color="auto"/>
              <w:right w:val="single" w:sz="6" w:space="0" w:color="auto"/>
            </w:tcBorders>
          </w:tcPr>
          <w:p w14:paraId="14AF0953" w14:textId="77777777" w:rsidR="00F247C8" w:rsidRPr="008F6A10" w:rsidRDefault="00F247C8" w:rsidP="008F6A10">
            <w:pPr>
              <w:widowControl w:val="0"/>
              <w:jc w:val="center"/>
              <w:rPr>
                <w:rFonts w:cs="Arial"/>
                <w:snapToGrid w:val="0"/>
                <w:szCs w:val="24"/>
              </w:rPr>
            </w:pPr>
            <w:r w:rsidRPr="008F6A10">
              <w:rPr>
                <w:rFonts w:cs="Arial"/>
                <w:snapToGrid w:val="0"/>
                <w:szCs w:val="24"/>
              </w:rPr>
              <w:t>351</w:t>
            </w:r>
          </w:p>
        </w:tc>
        <w:tc>
          <w:tcPr>
            <w:tcW w:w="1436" w:type="dxa"/>
            <w:tcBorders>
              <w:left w:val="single" w:sz="6" w:space="0" w:color="auto"/>
              <w:right w:val="single" w:sz="6" w:space="0" w:color="auto"/>
            </w:tcBorders>
          </w:tcPr>
          <w:p w14:paraId="1A055E97" w14:textId="77777777" w:rsidR="00F247C8" w:rsidRPr="008F6A10" w:rsidRDefault="00F247C8" w:rsidP="008F6A10">
            <w:pPr>
              <w:widowControl w:val="0"/>
              <w:jc w:val="center"/>
              <w:rPr>
                <w:rFonts w:cs="Arial"/>
                <w:snapToGrid w:val="0"/>
                <w:szCs w:val="24"/>
              </w:rPr>
            </w:pPr>
            <w:r w:rsidRPr="008F6A10">
              <w:rPr>
                <w:rFonts w:cs="Arial"/>
                <w:snapToGrid w:val="0"/>
                <w:szCs w:val="24"/>
              </w:rPr>
              <w:t>395</w:t>
            </w:r>
          </w:p>
        </w:tc>
        <w:tc>
          <w:tcPr>
            <w:tcW w:w="421" w:type="dxa"/>
            <w:tcBorders>
              <w:left w:val="single" w:sz="6" w:space="0" w:color="auto"/>
            </w:tcBorders>
          </w:tcPr>
          <w:p w14:paraId="5B0A8B7D"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3E9622EF" w14:textId="77777777" w:rsidR="00F247C8" w:rsidRPr="008F6A10" w:rsidRDefault="00F247C8" w:rsidP="008F6A10">
            <w:pPr>
              <w:widowControl w:val="0"/>
              <w:rPr>
                <w:rFonts w:cs="Arial"/>
                <w:snapToGrid w:val="0"/>
                <w:szCs w:val="24"/>
              </w:rPr>
            </w:pPr>
            <w:r w:rsidRPr="008F6A10">
              <w:rPr>
                <w:rFonts w:cs="Arial"/>
                <w:snapToGrid w:val="0"/>
                <w:szCs w:val="24"/>
              </w:rPr>
              <w:t>Band 4</w:t>
            </w:r>
          </w:p>
        </w:tc>
        <w:tc>
          <w:tcPr>
            <w:tcW w:w="1438" w:type="dxa"/>
            <w:tcBorders>
              <w:left w:val="single" w:sz="6" w:space="0" w:color="auto"/>
              <w:right w:val="single" w:sz="6" w:space="0" w:color="auto"/>
            </w:tcBorders>
          </w:tcPr>
          <w:p w14:paraId="20C71394" w14:textId="77777777" w:rsidR="00F247C8" w:rsidRPr="008F6A10" w:rsidRDefault="00D67126" w:rsidP="00224337">
            <w:pPr>
              <w:widowControl w:val="0"/>
              <w:jc w:val="center"/>
              <w:rPr>
                <w:rFonts w:cs="Arial"/>
                <w:snapToGrid w:val="0"/>
                <w:szCs w:val="24"/>
              </w:rPr>
            </w:pPr>
            <w:r>
              <w:rPr>
                <w:rFonts w:cs="Arial"/>
                <w:snapToGrid w:val="0"/>
                <w:szCs w:val="24"/>
              </w:rPr>
              <w:t>6</w:t>
            </w:r>
          </w:p>
        </w:tc>
        <w:tc>
          <w:tcPr>
            <w:tcW w:w="1771" w:type="dxa"/>
            <w:tcBorders>
              <w:right w:val="single" w:sz="6" w:space="0" w:color="auto"/>
            </w:tcBorders>
          </w:tcPr>
          <w:p w14:paraId="1046C5B2" w14:textId="77777777" w:rsidR="00F247C8" w:rsidRPr="008F6A10" w:rsidRDefault="00D67126" w:rsidP="008F6A10">
            <w:pPr>
              <w:widowControl w:val="0"/>
              <w:jc w:val="center"/>
              <w:rPr>
                <w:rFonts w:cs="Arial"/>
                <w:snapToGrid w:val="0"/>
                <w:szCs w:val="24"/>
              </w:rPr>
            </w:pPr>
            <w:r>
              <w:rPr>
                <w:rFonts w:cs="Arial"/>
                <w:snapToGrid w:val="0"/>
                <w:szCs w:val="24"/>
              </w:rPr>
              <w:t>8</w:t>
            </w:r>
          </w:p>
        </w:tc>
        <w:tc>
          <w:tcPr>
            <w:tcW w:w="168" w:type="dxa"/>
          </w:tcPr>
          <w:p w14:paraId="061B0899" w14:textId="77777777" w:rsidR="00F247C8" w:rsidRPr="008F6A10" w:rsidRDefault="00F247C8" w:rsidP="008F6A10">
            <w:pPr>
              <w:widowControl w:val="0"/>
              <w:rPr>
                <w:rFonts w:cs="Arial"/>
                <w:snapToGrid w:val="0"/>
                <w:szCs w:val="24"/>
              </w:rPr>
            </w:pPr>
          </w:p>
        </w:tc>
      </w:tr>
      <w:tr w:rsidR="00F247C8" w:rsidRPr="008F6A10" w14:paraId="0AC38E56" w14:textId="77777777" w:rsidTr="00EF3710">
        <w:trPr>
          <w:trHeight w:val="224"/>
        </w:trPr>
        <w:tc>
          <w:tcPr>
            <w:tcW w:w="1436" w:type="dxa"/>
            <w:tcBorders>
              <w:left w:val="single" w:sz="6" w:space="0" w:color="auto"/>
              <w:right w:val="single" w:sz="6" w:space="0" w:color="auto"/>
            </w:tcBorders>
          </w:tcPr>
          <w:p w14:paraId="76F6EDEA" w14:textId="77777777" w:rsidR="00F247C8" w:rsidRPr="008F6A10" w:rsidRDefault="00F247C8" w:rsidP="008F6A10">
            <w:pPr>
              <w:widowControl w:val="0"/>
              <w:jc w:val="center"/>
              <w:rPr>
                <w:rFonts w:cs="Arial"/>
                <w:snapToGrid w:val="0"/>
                <w:szCs w:val="24"/>
              </w:rPr>
            </w:pPr>
            <w:r w:rsidRPr="008F6A10">
              <w:rPr>
                <w:rFonts w:cs="Arial"/>
                <w:snapToGrid w:val="0"/>
                <w:szCs w:val="24"/>
              </w:rPr>
              <w:t>396</w:t>
            </w:r>
          </w:p>
        </w:tc>
        <w:tc>
          <w:tcPr>
            <w:tcW w:w="1436" w:type="dxa"/>
            <w:tcBorders>
              <w:left w:val="single" w:sz="6" w:space="0" w:color="auto"/>
              <w:right w:val="single" w:sz="6" w:space="0" w:color="auto"/>
            </w:tcBorders>
          </w:tcPr>
          <w:p w14:paraId="7A1220C4" w14:textId="77777777" w:rsidR="00F247C8" w:rsidRPr="008F6A10" w:rsidRDefault="00F247C8" w:rsidP="008F6A10">
            <w:pPr>
              <w:widowControl w:val="0"/>
              <w:jc w:val="center"/>
              <w:rPr>
                <w:rFonts w:cs="Arial"/>
                <w:snapToGrid w:val="0"/>
                <w:szCs w:val="24"/>
              </w:rPr>
            </w:pPr>
            <w:r w:rsidRPr="008F6A10">
              <w:rPr>
                <w:rFonts w:cs="Arial"/>
                <w:snapToGrid w:val="0"/>
                <w:szCs w:val="24"/>
              </w:rPr>
              <w:t>440</w:t>
            </w:r>
          </w:p>
        </w:tc>
        <w:tc>
          <w:tcPr>
            <w:tcW w:w="421" w:type="dxa"/>
            <w:tcBorders>
              <w:left w:val="single" w:sz="6" w:space="0" w:color="auto"/>
            </w:tcBorders>
          </w:tcPr>
          <w:p w14:paraId="247FFBA9"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5CE650FE" w14:textId="77777777" w:rsidR="00F247C8" w:rsidRPr="008F6A10" w:rsidRDefault="00F247C8" w:rsidP="008F6A10">
            <w:pPr>
              <w:widowControl w:val="0"/>
              <w:rPr>
                <w:rFonts w:cs="Arial"/>
                <w:snapToGrid w:val="0"/>
                <w:szCs w:val="24"/>
              </w:rPr>
            </w:pPr>
            <w:r w:rsidRPr="008F6A10">
              <w:rPr>
                <w:rFonts w:cs="Arial"/>
                <w:snapToGrid w:val="0"/>
                <w:szCs w:val="24"/>
              </w:rPr>
              <w:t>Band 5</w:t>
            </w:r>
          </w:p>
        </w:tc>
        <w:tc>
          <w:tcPr>
            <w:tcW w:w="1438" w:type="dxa"/>
            <w:tcBorders>
              <w:left w:val="single" w:sz="6" w:space="0" w:color="auto"/>
              <w:right w:val="single" w:sz="6" w:space="0" w:color="auto"/>
            </w:tcBorders>
          </w:tcPr>
          <w:p w14:paraId="0ABE0EDF" w14:textId="77777777" w:rsidR="00F247C8" w:rsidRPr="008F6A10" w:rsidRDefault="00D67126" w:rsidP="00D67126">
            <w:pPr>
              <w:widowControl w:val="0"/>
              <w:jc w:val="center"/>
              <w:rPr>
                <w:rFonts w:cs="Arial"/>
                <w:snapToGrid w:val="0"/>
                <w:szCs w:val="24"/>
              </w:rPr>
            </w:pPr>
            <w:r>
              <w:rPr>
                <w:rFonts w:cs="Arial"/>
                <w:snapToGrid w:val="0"/>
                <w:szCs w:val="24"/>
              </w:rPr>
              <w:t>11</w:t>
            </w:r>
          </w:p>
        </w:tc>
        <w:tc>
          <w:tcPr>
            <w:tcW w:w="1771" w:type="dxa"/>
            <w:tcBorders>
              <w:right w:val="single" w:sz="6" w:space="0" w:color="auto"/>
            </w:tcBorders>
          </w:tcPr>
          <w:p w14:paraId="384D3862" w14:textId="77777777" w:rsidR="00F247C8" w:rsidRPr="008F6A10" w:rsidRDefault="00D67126" w:rsidP="00224337">
            <w:pPr>
              <w:widowControl w:val="0"/>
              <w:jc w:val="center"/>
              <w:rPr>
                <w:rFonts w:cs="Arial"/>
                <w:snapToGrid w:val="0"/>
                <w:szCs w:val="24"/>
              </w:rPr>
            </w:pPr>
            <w:r>
              <w:rPr>
                <w:rFonts w:cs="Arial"/>
                <w:snapToGrid w:val="0"/>
                <w:szCs w:val="24"/>
              </w:rPr>
              <w:t>14</w:t>
            </w:r>
          </w:p>
        </w:tc>
        <w:tc>
          <w:tcPr>
            <w:tcW w:w="168" w:type="dxa"/>
          </w:tcPr>
          <w:p w14:paraId="0578EA5C" w14:textId="77777777" w:rsidR="00F247C8" w:rsidRPr="008F6A10" w:rsidRDefault="00F247C8" w:rsidP="008F6A10">
            <w:pPr>
              <w:widowControl w:val="0"/>
              <w:rPr>
                <w:rFonts w:cs="Arial"/>
                <w:snapToGrid w:val="0"/>
                <w:szCs w:val="24"/>
              </w:rPr>
            </w:pPr>
          </w:p>
        </w:tc>
      </w:tr>
      <w:tr w:rsidR="00F247C8" w:rsidRPr="008F6A10" w14:paraId="38C68D6D" w14:textId="77777777" w:rsidTr="00EF3710">
        <w:trPr>
          <w:trHeight w:val="237"/>
        </w:trPr>
        <w:tc>
          <w:tcPr>
            <w:tcW w:w="1436" w:type="dxa"/>
            <w:tcBorders>
              <w:left w:val="single" w:sz="6" w:space="0" w:color="auto"/>
              <w:right w:val="single" w:sz="6" w:space="0" w:color="auto"/>
            </w:tcBorders>
          </w:tcPr>
          <w:p w14:paraId="0B383497" w14:textId="77777777" w:rsidR="00F247C8" w:rsidRPr="008F6A10" w:rsidRDefault="00F247C8" w:rsidP="008F6A10">
            <w:pPr>
              <w:widowControl w:val="0"/>
              <w:jc w:val="center"/>
              <w:rPr>
                <w:rFonts w:cs="Arial"/>
                <w:snapToGrid w:val="0"/>
                <w:szCs w:val="24"/>
              </w:rPr>
            </w:pPr>
            <w:r w:rsidRPr="008F6A10">
              <w:rPr>
                <w:rFonts w:cs="Arial"/>
                <w:snapToGrid w:val="0"/>
                <w:szCs w:val="24"/>
              </w:rPr>
              <w:t>441</w:t>
            </w:r>
          </w:p>
        </w:tc>
        <w:tc>
          <w:tcPr>
            <w:tcW w:w="1436" w:type="dxa"/>
            <w:tcBorders>
              <w:left w:val="single" w:sz="6" w:space="0" w:color="auto"/>
              <w:right w:val="single" w:sz="6" w:space="0" w:color="auto"/>
            </w:tcBorders>
          </w:tcPr>
          <w:p w14:paraId="064632F1" w14:textId="77777777" w:rsidR="00F247C8" w:rsidRPr="008F6A10" w:rsidRDefault="00F247C8" w:rsidP="008F6A10">
            <w:pPr>
              <w:widowControl w:val="0"/>
              <w:jc w:val="center"/>
              <w:rPr>
                <w:rFonts w:cs="Arial"/>
                <w:snapToGrid w:val="0"/>
                <w:szCs w:val="24"/>
              </w:rPr>
            </w:pPr>
            <w:r w:rsidRPr="008F6A10">
              <w:rPr>
                <w:rFonts w:cs="Arial"/>
                <w:snapToGrid w:val="0"/>
                <w:szCs w:val="24"/>
              </w:rPr>
              <w:t>475</w:t>
            </w:r>
          </w:p>
        </w:tc>
        <w:tc>
          <w:tcPr>
            <w:tcW w:w="421" w:type="dxa"/>
            <w:tcBorders>
              <w:left w:val="single" w:sz="6" w:space="0" w:color="auto"/>
            </w:tcBorders>
          </w:tcPr>
          <w:p w14:paraId="4E1CEFDD"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472AC07C" w14:textId="77777777" w:rsidR="00F247C8" w:rsidRPr="008F6A10" w:rsidRDefault="00F247C8" w:rsidP="008F6A10">
            <w:pPr>
              <w:widowControl w:val="0"/>
              <w:rPr>
                <w:rFonts w:cs="Arial"/>
                <w:snapToGrid w:val="0"/>
                <w:szCs w:val="24"/>
              </w:rPr>
            </w:pPr>
            <w:r w:rsidRPr="008F6A10">
              <w:rPr>
                <w:rFonts w:cs="Arial"/>
                <w:snapToGrid w:val="0"/>
                <w:szCs w:val="24"/>
              </w:rPr>
              <w:t>Band 6</w:t>
            </w:r>
          </w:p>
        </w:tc>
        <w:tc>
          <w:tcPr>
            <w:tcW w:w="1438" w:type="dxa"/>
            <w:tcBorders>
              <w:left w:val="single" w:sz="6" w:space="0" w:color="auto"/>
              <w:right w:val="single" w:sz="6" w:space="0" w:color="auto"/>
            </w:tcBorders>
          </w:tcPr>
          <w:p w14:paraId="4E272EA9" w14:textId="77777777" w:rsidR="00F247C8" w:rsidRPr="008F6A10" w:rsidRDefault="00D67126" w:rsidP="00D67126">
            <w:pPr>
              <w:widowControl w:val="0"/>
              <w:jc w:val="center"/>
              <w:rPr>
                <w:rFonts w:cs="Arial"/>
                <w:snapToGrid w:val="0"/>
                <w:szCs w:val="24"/>
              </w:rPr>
            </w:pPr>
            <w:r>
              <w:rPr>
                <w:rFonts w:cs="Arial"/>
                <w:snapToGrid w:val="0"/>
                <w:szCs w:val="24"/>
              </w:rPr>
              <w:t>16</w:t>
            </w:r>
          </w:p>
        </w:tc>
        <w:tc>
          <w:tcPr>
            <w:tcW w:w="1771" w:type="dxa"/>
            <w:tcBorders>
              <w:right w:val="single" w:sz="6" w:space="0" w:color="auto"/>
            </w:tcBorders>
          </w:tcPr>
          <w:p w14:paraId="5035EC86" w14:textId="77777777" w:rsidR="00F247C8" w:rsidRPr="008F6A10" w:rsidRDefault="00F247C8" w:rsidP="00224337">
            <w:pPr>
              <w:widowControl w:val="0"/>
              <w:jc w:val="center"/>
              <w:rPr>
                <w:rFonts w:cs="Arial"/>
                <w:snapToGrid w:val="0"/>
                <w:szCs w:val="24"/>
              </w:rPr>
            </w:pPr>
            <w:r w:rsidRPr="008F6A10">
              <w:rPr>
                <w:rFonts w:cs="Arial"/>
                <w:snapToGrid w:val="0"/>
                <w:szCs w:val="24"/>
              </w:rPr>
              <w:t>2</w:t>
            </w:r>
            <w:r w:rsidR="00D67126">
              <w:rPr>
                <w:rFonts w:cs="Arial"/>
                <w:snapToGrid w:val="0"/>
                <w:szCs w:val="24"/>
              </w:rPr>
              <w:t>0</w:t>
            </w:r>
          </w:p>
        </w:tc>
        <w:tc>
          <w:tcPr>
            <w:tcW w:w="168" w:type="dxa"/>
          </w:tcPr>
          <w:p w14:paraId="3FBFB66F" w14:textId="77777777" w:rsidR="00F247C8" w:rsidRPr="008F6A10" w:rsidRDefault="00F247C8" w:rsidP="008F6A10">
            <w:pPr>
              <w:widowControl w:val="0"/>
              <w:rPr>
                <w:rFonts w:cs="Arial"/>
                <w:snapToGrid w:val="0"/>
                <w:szCs w:val="24"/>
              </w:rPr>
            </w:pPr>
          </w:p>
        </w:tc>
      </w:tr>
      <w:tr w:rsidR="00F247C8" w:rsidRPr="008F6A10" w14:paraId="393ADF69" w14:textId="77777777" w:rsidTr="00EF3710">
        <w:trPr>
          <w:trHeight w:val="224"/>
        </w:trPr>
        <w:tc>
          <w:tcPr>
            <w:tcW w:w="1436" w:type="dxa"/>
            <w:tcBorders>
              <w:left w:val="single" w:sz="6" w:space="0" w:color="auto"/>
              <w:right w:val="single" w:sz="6" w:space="0" w:color="auto"/>
            </w:tcBorders>
          </w:tcPr>
          <w:p w14:paraId="342C64EB" w14:textId="77777777" w:rsidR="00F247C8" w:rsidRPr="008F6A10" w:rsidRDefault="00F247C8" w:rsidP="008F6A10">
            <w:pPr>
              <w:widowControl w:val="0"/>
              <w:jc w:val="center"/>
              <w:rPr>
                <w:rFonts w:cs="Arial"/>
                <w:snapToGrid w:val="0"/>
                <w:szCs w:val="24"/>
              </w:rPr>
            </w:pPr>
            <w:r w:rsidRPr="008F6A10">
              <w:rPr>
                <w:rFonts w:cs="Arial"/>
                <w:snapToGrid w:val="0"/>
                <w:szCs w:val="24"/>
              </w:rPr>
              <w:t>476</w:t>
            </w:r>
          </w:p>
        </w:tc>
        <w:tc>
          <w:tcPr>
            <w:tcW w:w="1436" w:type="dxa"/>
            <w:tcBorders>
              <w:left w:val="single" w:sz="6" w:space="0" w:color="auto"/>
              <w:right w:val="single" w:sz="6" w:space="0" w:color="auto"/>
            </w:tcBorders>
          </w:tcPr>
          <w:p w14:paraId="26284871" w14:textId="77777777" w:rsidR="00F247C8" w:rsidRPr="008F6A10" w:rsidRDefault="00F247C8" w:rsidP="008F6A10">
            <w:pPr>
              <w:widowControl w:val="0"/>
              <w:jc w:val="center"/>
              <w:rPr>
                <w:rFonts w:cs="Arial"/>
                <w:snapToGrid w:val="0"/>
                <w:szCs w:val="24"/>
              </w:rPr>
            </w:pPr>
            <w:r w:rsidRPr="008F6A10">
              <w:rPr>
                <w:rFonts w:cs="Arial"/>
                <w:snapToGrid w:val="0"/>
                <w:szCs w:val="24"/>
              </w:rPr>
              <w:t>515</w:t>
            </w:r>
          </w:p>
        </w:tc>
        <w:tc>
          <w:tcPr>
            <w:tcW w:w="421" w:type="dxa"/>
            <w:tcBorders>
              <w:left w:val="single" w:sz="6" w:space="0" w:color="auto"/>
            </w:tcBorders>
          </w:tcPr>
          <w:p w14:paraId="726FCBF3"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45F00C42" w14:textId="77777777" w:rsidR="00F247C8" w:rsidRPr="008F6A10" w:rsidRDefault="00F247C8" w:rsidP="008F6A10">
            <w:pPr>
              <w:widowControl w:val="0"/>
              <w:rPr>
                <w:rFonts w:cs="Arial"/>
                <w:snapToGrid w:val="0"/>
                <w:szCs w:val="24"/>
              </w:rPr>
            </w:pPr>
            <w:r w:rsidRPr="008F6A10">
              <w:rPr>
                <w:rFonts w:cs="Arial"/>
                <w:snapToGrid w:val="0"/>
                <w:szCs w:val="24"/>
              </w:rPr>
              <w:t>Band 7</w:t>
            </w:r>
          </w:p>
        </w:tc>
        <w:tc>
          <w:tcPr>
            <w:tcW w:w="1438" w:type="dxa"/>
            <w:tcBorders>
              <w:left w:val="single" w:sz="6" w:space="0" w:color="auto"/>
              <w:right w:val="single" w:sz="6" w:space="0" w:color="auto"/>
            </w:tcBorders>
          </w:tcPr>
          <w:p w14:paraId="251317DF" w14:textId="77777777" w:rsidR="00F247C8" w:rsidRPr="008F6A10" w:rsidRDefault="00F247C8" w:rsidP="00D67126">
            <w:pPr>
              <w:widowControl w:val="0"/>
              <w:jc w:val="center"/>
              <w:rPr>
                <w:rFonts w:cs="Arial"/>
                <w:snapToGrid w:val="0"/>
                <w:szCs w:val="24"/>
              </w:rPr>
            </w:pPr>
            <w:r w:rsidRPr="008F6A10">
              <w:rPr>
                <w:rFonts w:cs="Arial"/>
                <w:snapToGrid w:val="0"/>
                <w:szCs w:val="24"/>
              </w:rPr>
              <w:t>2</w:t>
            </w:r>
            <w:r w:rsidR="00D67126">
              <w:rPr>
                <w:rFonts w:cs="Arial"/>
                <w:snapToGrid w:val="0"/>
                <w:szCs w:val="24"/>
              </w:rPr>
              <w:t>2</w:t>
            </w:r>
          </w:p>
        </w:tc>
        <w:tc>
          <w:tcPr>
            <w:tcW w:w="1771" w:type="dxa"/>
            <w:tcBorders>
              <w:right w:val="single" w:sz="6" w:space="0" w:color="auto"/>
            </w:tcBorders>
          </w:tcPr>
          <w:p w14:paraId="68877BF5" w14:textId="77777777" w:rsidR="00F247C8" w:rsidRPr="008F6A10" w:rsidRDefault="00D67126" w:rsidP="008F6A10">
            <w:pPr>
              <w:widowControl w:val="0"/>
              <w:jc w:val="center"/>
              <w:rPr>
                <w:rFonts w:cs="Arial"/>
                <w:snapToGrid w:val="0"/>
                <w:szCs w:val="24"/>
              </w:rPr>
            </w:pPr>
            <w:r>
              <w:rPr>
                <w:rFonts w:cs="Arial"/>
                <w:snapToGrid w:val="0"/>
                <w:szCs w:val="24"/>
              </w:rPr>
              <w:t>24</w:t>
            </w:r>
          </w:p>
        </w:tc>
        <w:tc>
          <w:tcPr>
            <w:tcW w:w="168" w:type="dxa"/>
          </w:tcPr>
          <w:p w14:paraId="30AB5DD1" w14:textId="77777777" w:rsidR="00F247C8" w:rsidRPr="008F6A10" w:rsidRDefault="00F247C8" w:rsidP="008F6A10">
            <w:pPr>
              <w:widowControl w:val="0"/>
              <w:rPr>
                <w:rFonts w:cs="Arial"/>
                <w:snapToGrid w:val="0"/>
                <w:szCs w:val="24"/>
              </w:rPr>
            </w:pPr>
          </w:p>
        </w:tc>
      </w:tr>
      <w:tr w:rsidR="00F247C8" w:rsidRPr="008F6A10" w14:paraId="65FD16AD" w14:textId="77777777" w:rsidTr="00EF3710">
        <w:trPr>
          <w:trHeight w:val="237"/>
        </w:trPr>
        <w:tc>
          <w:tcPr>
            <w:tcW w:w="1436" w:type="dxa"/>
            <w:tcBorders>
              <w:left w:val="single" w:sz="6" w:space="0" w:color="auto"/>
              <w:right w:val="single" w:sz="6" w:space="0" w:color="auto"/>
            </w:tcBorders>
          </w:tcPr>
          <w:p w14:paraId="229999BC" w14:textId="77777777" w:rsidR="00F247C8" w:rsidRPr="008F6A10" w:rsidRDefault="00F247C8" w:rsidP="008F6A10">
            <w:pPr>
              <w:widowControl w:val="0"/>
              <w:jc w:val="center"/>
              <w:rPr>
                <w:rFonts w:cs="Arial"/>
                <w:snapToGrid w:val="0"/>
                <w:szCs w:val="24"/>
              </w:rPr>
            </w:pPr>
            <w:r w:rsidRPr="008F6A10">
              <w:rPr>
                <w:rFonts w:cs="Arial"/>
                <w:snapToGrid w:val="0"/>
                <w:szCs w:val="24"/>
              </w:rPr>
              <w:t>516</w:t>
            </w:r>
          </w:p>
        </w:tc>
        <w:tc>
          <w:tcPr>
            <w:tcW w:w="1436" w:type="dxa"/>
            <w:tcBorders>
              <w:left w:val="single" w:sz="6" w:space="0" w:color="auto"/>
              <w:right w:val="single" w:sz="6" w:space="0" w:color="auto"/>
            </w:tcBorders>
          </w:tcPr>
          <w:p w14:paraId="79AB8BEC" w14:textId="77777777" w:rsidR="00F247C8" w:rsidRPr="008F6A10" w:rsidRDefault="00F247C8" w:rsidP="008F6A10">
            <w:pPr>
              <w:widowControl w:val="0"/>
              <w:jc w:val="center"/>
              <w:rPr>
                <w:rFonts w:cs="Arial"/>
                <w:snapToGrid w:val="0"/>
                <w:szCs w:val="24"/>
              </w:rPr>
            </w:pPr>
            <w:r w:rsidRPr="008F6A10">
              <w:rPr>
                <w:rFonts w:cs="Arial"/>
                <w:snapToGrid w:val="0"/>
                <w:szCs w:val="24"/>
              </w:rPr>
              <w:t>540</w:t>
            </w:r>
          </w:p>
        </w:tc>
        <w:tc>
          <w:tcPr>
            <w:tcW w:w="421" w:type="dxa"/>
            <w:tcBorders>
              <w:left w:val="single" w:sz="6" w:space="0" w:color="auto"/>
            </w:tcBorders>
          </w:tcPr>
          <w:p w14:paraId="4523D9A4"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0B613AA1" w14:textId="77777777" w:rsidR="00F247C8" w:rsidRPr="008F6A10" w:rsidRDefault="00F247C8" w:rsidP="008F6A10">
            <w:pPr>
              <w:widowControl w:val="0"/>
              <w:rPr>
                <w:rFonts w:cs="Arial"/>
                <w:snapToGrid w:val="0"/>
                <w:szCs w:val="24"/>
              </w:rPr>
            </w:pPr>
            <w:r w:rsidRPr="008F6A10">
              <w:rPr>
                <w:rFonts w:cs="Arial"/>
                <w:snapToGrid w:val="0"/>
                <w:szCs w:val="24"/>
              </w:rPr>
              <w:t>Band 8</w:t>
            </w:r>
          </w:p>
        </w:tc>
        <w:tc>
          <w:tcPr>
            <w:tcW w:w="1438" w:type="dxa"/>
            <w:tcBorders>
              <w:left w:val="single" w:sz="6" w:space="0" w:color="auto"/>
              <w:right w:val="single" w:sz="6" w:space="0" w:color="auto"/>
            </w:tcBorders>
          </w:tcPr>
          <w:p w14:paraId="2C12E1FF" w14:textId="77777777" w:rsidR="00F247C8" w:rsidRPr="008F6A10" w:rsidRDefault="00D67126" w:rsidP="00D67126">
            <w:pPr>
              <w:widowControl w:val="0"/>
              <w:jc w:val="center"/>
              <w:rPr>
                <w:rFonts w:cs="Arial"/>
                <w:snapToGrid w:val="0"/>
                <w:szCs w:val="24"/>
              </w:rPr>
            </w:pPr>
            <w:r>
              <w:rPr>
                <w:rFonts w:cs="Arial"/>
                <w:snapToGrid w:val="0"/>
                <w:szCs w:val="24"/>
              </w:rPr>
              <w:t>26</w:t>
            </w:r>
          </w:p>
        </w:tc>
        <w:tc>
          <w:tcPr>
            <w:tcW w:w="1771" w:type="dxa"/>
            <w:tcBorders>
              <w:right w:val="single" w:sz="6" w:space="0" w:color="auto"/>
            </w:tcBorders>
          </w:tcPr>
          <w:p w14:paraId="6B74AD41" w14:textId="77777777" w:rsidR="00F247C8" w:rsidRPr="008F6A10" w:rsidRDefault="00D67126" w:rsidP="00224337">
            <w:pPr>
              <w:widowControl w:val="0"/>
              <w:jc w:val="center"/>
              <w:rPr>
                <w:rFonts w:cs="Arial"/>
                <w:snapToGrid w:val="0"/>
                <w:szCs w:val="24"/>
              </w:rPr>
            </w:pPr>
            <w:r>
              <w:rPr>
                <w:rFonts w:cs="Arial"/>
                <w:snapToGrid w:val="0"/>
                <w:szCs w:val="24"/>
              </w:rPr>
              <w:t>28</w:t>
            </w:r>
          </w:p>
        </w:tc>
        <w:tc>
          <w:tcPr>
            <w:tcW w:w="168" w:type="dxa"/>
          </w:tcPr>
          <w:p w14:paraId="76278A99" w14:textId="77777777" w:rsidR="00F247C8" w:rsidRPr="008F6A10" w:rsidRDefault="00F247C8" w:rsidP="008F6A10">
            <w:pPr>
              <w:widowControl w:val="0"/>
              <w:rPr>
                <w:rFonts w:cs="Arial"/>
                <w:snapToGrid w:val="0"/>
                <w:szCs w:val="24"/>
              </w:rPr>
            </w:pPr>
          </w:p>
        </w:tc>
      </w:tr>
      <w:tr w:rsidR="00F247C8" w:rsidRPr="008F6A10" w14:paraId="77DC4BE5" w14:textId="77777777" w:rsidTr="00EF3710">
        <w:trPr>
          <w:trHeight w:val="224"/>
        </w:trPr>
        <w:tc>
          <w:tcPr>
            <w:tcW w:w="1436" w:type="dxa"/>
            <w:tcBorders>
              <w:left w:val="single" w:sz="6" w:space="0" w:color="auto"/>
              <w:right w:val="single" w:sz="6" w:space="0" w:color="auto"/>
            </w:tcBorders>
          </w:tcPr>
          <w:p w14:paraId="395BD7DE" w14:textId="77777777" w:rsidR="00F247C8" w:rsidRPr="008F6A10" w:rsidRDefault="00F247C8" w:rsidP="008F6A10">
            <w:pPr>
              <w:widowControl w:val="0"/>
              <w:jc w:val="center"/>
              <w:rPr>
                <w:rFonts w:cs="Arial"/>
                <w:snapToGrid w:val="0"/>
                <w:szCs w:val="24"/>
              </w:rPr>
            </w:pPr>
            <w:r w:rsidRPr="008F6A10">
              <w:rPr>
                <w:rFonts w:cs="Arial"/>
                <w:snapToGrid w:val="0"/>
                <w:szCs w:val="24"/>
              </w:rPr>
              <w:t>541</w:t>
            </w:r>
          </w:p>
        </w:tc>
        <w:tc>
          <w:tcPr>
            <w:tcW w:w="1436" w:type="dxa"/>
            <w:tcBorders>
              <w:left w:val="single" w:sz="6" w:space="0" w:color="auto"/>
              <w:right w:val="single" w:sz="6" w:space="0" w:color="auto"/>
            </w:tcBorders>
          </w:tcPr>
          <w:p w14:paraId="13754481" w14:textId="77777777" w:rsidR="00F247C8" w:rsidRPr="008F6A10" w:rsidRDefault="00F247C8" w:rsidP="008F6A10">
            <w:pPr>
              <w:widowControl w:val="0"/>
              <w:jc w:val="center"/>
              <w:rPr>
                <w:rFonts w:cs="Arial"/>
                <w:snapToGrid w:val="0"/>
                <w:szCs w:val="24"/>
              </w:rPr>
            </w:pPr>
            <w:r w:rsidRPr="008F6A10">
              <w:rPr>
                <w:rFonts w:cs="Arial"/>
                <w:snapToGrid w:val="0"/>
                <w:szCs w:val="24"/>
              </w:rPr>
              <w:t>580</w:t>
            </w:r>
          </w:p>
        </w:tc>
        <w:tc>
          <w:tcPr>
            <w:tcW w:w="421" w:type="dxa"/>
            <w:tcBorders>
              <w:left w:val="single" w:sz="6" w:space="0" w:color="auto"/>
            </w:tcBorders>
          </w:tcPr>
          <w:p w14:paraId="14D1CF13"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5001C6F2" w14:textId="77777777" w:rsidR="00F247C8" w:rsidRPr="008F6A10" w:rsidRDefault="00F247C8" w:rsidP="008F6A10">
            <w:pPr>
              <w:widowControl w:val="0"/>
              <w:rPr>
                <w:rFonts w:cs="Arial"/>
                <w:snapToGrid w:val="0"/>
                <w:szCs w:val="24"/>
              </w:rPr>
            </w:pPr>
            <w:r w:rsidRPr="008F6A10">
              <w:rPr>
                <w:rFonts w:cs="Arial"/>
                <w:snapToGrid w:val="0"/>
                <w:szCs w:val="24"/>
              </w:rPr>
              <w:t>Band 9</w:t>
            </w:r>
          </w:p>
        </w:tc>
        <w:tc>
          <w:tcPr>
            <w:tcW w:w="1438" w:type="dxa"/>
            <w:tcBorders>
              <w:left w:val="single" w:sz="6" w:space="0" w:color="auto"/>
              <w:right w:val="single" w:sz="6" w:space="0" w:color="auto"/>
            </w:tcBorders>
          </w:tcPr>
          <w:p w14:paraId="6F3A10D8" w14:textId="77777777" w:rsidR="00F247C8" w:rsidRPr="008F6A10" w:rsidRDefault="00D67126" w:rsidP="00224337">
            <w:pPr>
              <w:widowControl w:val="0"/>
              <w:jc w:val="center"/>
              <w:rPr>
                <w:rFonts w:cs="Arial"/>
                <w:snapToGrid w:val="0"/>
                <w:szCs w:val="24"/>
              </w:rPr>
            </w:pPr>
            <w:r>
              <w:rPr>
                <w:rFonts w:cs="Arial"/>
                <w:snapToGrid w:val="0"/>
                <w:szCs w:val="24"/>
              </w:rPr>
              <w:t>29</w:t>
            </w:r>
          </w:p>
        </w:tc>
        <w:tc>
          <w:tcPr>
            <w:tcW w:w="1771" w:type="dxa"/>
            <w:tcBorders>
              <w:right w:val="single" w:sz="6" w:space="0" w:color="auto"/>
            </w:tcBorders>
          </w:tcPr>
          <w:p w14:paraId="21A533FE" w14:textId="77777777" w:rsidR="00F247C8" w:rsidRPr="008F6A10" w:rsidRDefault="00D67126" w:rsidP="00224337">
            <w:pPr>
              <w:widowControl w:val="0"/>
              <w:jc w:val="center"/>
              <w:rPr>
                <w:rFonts w:cs="Arial"/>
                <w:snapToGrid w:val="0"/>
                <w:szCs w:val="24"/>
              </w:rPr>
            </w:pPr>
            <w:r>
              <w:rPr>
                <w:rFonts w:cs="Arial"/>
                <w:snapToGrid w:val="0"/>
                <w:szCs w:val="24"/>
              </w:rPr>
              <w:t>31</w:t>
            </w:r>
          </w:p>
        </w:tc>
        <w:tc>
          <w:tcPr>
            <w:tcW w:w="168" w:type="dxa"/>
          </w:tcPr>
          <w:p w14:paraId="59C8651F" w14:textId="77777777" w:rsidR="00F247C8" w:rsidRPr="008F6A10" w:rsidRDefault="00F247C8" w:rsidP="008F6A10">
            <w:pPr>
              <w:widowControl w:val="0"/>
              <w:rPr>
                <w:rFonts w:cs="Arial"/>
                <w:snapToGrid w:val="0"/>
                <w:szCs w:val="24"/>
              </w:rPr>
            </w:pPr>
          </w:p>
        </w:tc>
      </w:tr>
      <w:tr w:rsidR="00F247C8" w:rsidRPr="008F6A10" w14:paraId="40DABBED" w14:textId="77777777" w:rsidTr="00EF3710">
        <w:trPr>
          <w:trHeight w:val="224"/>
        </w:trPr>
        <w:tc>
          <w:tcPr>
            <w:tcW w:w="1436" w:type="dxa"/>
            <w:tcBorders>
              <w:left w:val="single" w:sz="6" w:space="0" w:color="auto"/>
              <w:right w:val="single" w:sz="6" w:space="0" w:color="auto"/>
            </w:tcBorders>
          </w:tcPr>
          <w:p w14:paraId="59589723" w14:textId="77777777" w:rsidR="00F247C8" w:rsidRPr="008F6A10" w:rsidRDefault="00F247C8" w:rsidP="008F6A10">
            <w:pPr>
              <w:widowControl w:val="0"/>
              <w:jc w:val="center"/>
              <w:rPr>
                <w:rFonts w:cs="Arial"/>
                <w:snapToGrid w:val="0"/>
                <w:szCs w:val="24"/>
              </w:rPr>
            </w:pPr>
            <w:r w:rsidRPr="008F6A10">
              <w:rPr>
                <w:rFonts w:cs="Arial"/>
                <w:snapToGrid w:val="0"/>
                <w:szCs w:val="24"/>
              </w:rPr>
              <w:t>581</w:t>
            </w:r>
          </w:p>
        </w:tc>
        <w:tc>
          <w:tcPr>
            <w:tcW w:w="1436" w:type="dxa"/>
            <w:tcBorders>
              <w:left w:val="single" w:sz="6" w:space="0" w:color="auto"/>
              <w:right w:val="single" w:sz="6" w:space="0" w:color="auto"/>
            </w:tcBorders>
          </w:tcPr>
          <w:p w14:paraId="36AAF8CD" w14:textId="77777777" w:rsidR="00F247C8" w:rsidRPr="008F6A10" w:rsidRDefault="00F247C8" w:rsidP="008F6A10">
            <w:pPr>
              <w:widowControl w:val="0"/>
              <w:jc w:val="center"/>
              <w:rPr>
                <w:rFonts w:cs="Arial"/>
                <w:snapToGrid w:val="0"/>
                <w:szCs w:val="24"/>
              </w:rPr>
            </w:pPr>
            <w:r w:rsidRPr="008F6A10">
              <w:rPr>
                <w:rFonts w:cs="Arial"/>
                <w:snapToGrid w:val="0"/>
                <w:szCs w:val="24"/>
              </w:rPr>
              <w:t>620</w:t>
            </w:r>
          </w:p>
        </w:tc>
        <w:tc>
          <w:tcPr>
            <w:tcW w:w="421" w:type="dxa"/>
            <w:tcBorders>
              <w:left w:val="single" w:sz="6" w:space="0" w:color="auto"/>
            </w:tcBorders>
          </w:tcPr>
          <w:p w14:paraId="58179734"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1C1091B7" w14:textId="77777777" w:rsidR="00F247C8" w:rsidRPr="008F6A10" w:rsidRDefault="00F247C8" w:rsidP="008F6A10">
            <w:pPr>
              <w:widowControl w:val="0"/>
              <w:rPr>
                <w:rFonts w:cs="Arial"/>
                <w:snapToGrid w:val="0"/>
                <w:szCs w:val="24"/>
              </w:rPr>
            </w:pPr>
            <w:r w:rsidRPr="008F6A10">
              <w:rPr>
                <w:rFonts w:cs="Arial"/>
                <w:snapToGrid w:val="0"/>
                <w:szCs w:val="24"/>
              </w:rPr>
              <w:t>Band 10</w:t>
            </w:r>
          </w:p>
        </w:tc>
        <w:tc>
          <w:tcPr>
            <w:tcW w:w="1438" w:type="dxa"/>
            <w:tcBorders>
              <w:left w:val="single" w:sz="6" w:space="0" w:color="auto"/>
              <w:right w:val="single" w:sz="6" w:space="0" w:color="auto"/>
            </w:tcBorders>
          </w:tcPr>
          <w:p w14:paraId="42B2DB91" w14:textId="77777777" w:rsidR="00F247C8" w:rsidRPr="008F6A10" w:rsidRDefault="00D67126" w:rsidP="00224337">
            <w:pPr>
              <w:widowControl w:val="0"/>
              <w:jc w:val="center"/>
              <w:rPr>
                <w:rFonts w:cs="Arial"/>
                <w:snapToGrid w:val="0"/>
                <w:szCs w:val="24"/>
              </w:rPr>
            </w:pPr>
            <w:r>
              <w:rPr>
                <w:rFonts w:cs="Arial"/>
                <w:snapToGrid w:val="0"/>
                <w:szCs w:val="24"/>
              </w:rPr>
              <w:t>33</w:t>
            </w:r>
          </w:p>
        </w:tc>
        <w:tc>
          <w:tcPr>
            <w:tcW w:w="1771" w:type="dxa"/>
            <w:tcBorders>
              <w:right w:val="single" w:sz="6" w:space="0" w:color="auto"/>
            </w:tcBorders>
          </w:tcPr>
          <w:p w14:paraId="629E2B75" w14:textId="77777777" w:rsidR="00F247C8" w:rsidRPr="008F6A10" w:rsidRDefault="00D67126" w:rsidP="00224337">
            <w:pPr>
              <w:widowControl w:val="0"/>
              <w:jc w:val="center"/>
              <w:rPr>
                <w:rFonts w:cs="Arial"/>
                <w:snapToGrid w:val="0"/>
                <w:szCs w:val="24"/>
              </w:rPr>
            </w:pPr>
            <w:r>
              <w:rPr>
                <w:rFonts w:cs="Arial"/>
                <w:snapToGrid w:val="0"/>
                <w:szCs w:val="24"/>
              </w:rPr>
              <w:t>35</w:t>
            </w:r>
          </w:p>
        </w:tc>
        <w:tc>
          <w:tcPr>
            <w:tcW w:w="168" w:type="dxa"/>
          </w:tcPr>
          <w:p w14:paraId="68F602EA" w14:textId="77777777" w:rsidR="00F247C8" w:rsidRPr="008F6A10" w:rsidRDefault="00F247C8" w:rsidP="008F6A10">
            <w:pPr>
              <w:widowControl w:val="0"/>
              <w:rPr>
                <w:rFonts w:cs="Arial"/>
                <w:snapToGrid w:val="0"/>
                <w:szCs w:val="24"/>
              </w:rPr>
            </w:pPr>
          </w:p>
        </w:tc>
      </w:tr>
      <w:tr w:rsidR="00F247C8" w:rsidRPr="008F6A10" w14:paraId="1C2552D5" w14:textId="77777777" w:rsidTr="00EF3710">
        <w:trPr>
          <w:trHeight w:val="237"/>
        </w:trPr>
        <w:tc>
          <w:tcPr>
            <w:tcW w:w="1436" w:type="dxa"/>
            <w:tcBorders>
              <w:left w:val="single" w:sz="6" w:space="0" w:color="auto"/>
              <w:right w:val="single" w:sz="6" w:space="0" w:color="auto"/>
            </w:tcBorders>
          </w:tcPr>
          <w:p w14:paraId="226842AC" w14:textId="77777777" w:rsidR="00F247C8" w:rsidRPr="008F6A10" w:rsidRDefault="00F247C8" w:rsidP="008F6A10">
            <w:pPr>
              <w:widowControl w:val="0"/>
              <w:jc w:val="center"/>
              <w:rPr>
                <w:rFonts w:cs="Arial"/>
                <w:snapToGrid w:val="0"/>
                <w:szCs w:val="24"/>
              </w:rPr>
            </w:pPr>
            <w:r w:rsidRPr="008F6A10">
              <w:rPr>
                <w:rFonts w:cs="Arial"/>
                <w:snapToGrid w:val="0"/>
                <w:szCs w:val="24"/>
              </w:rPr>
              <w:t>621</w:t>
            </w:r>
          </w:p>
        </w:tc>
        <w:tc>
          <w:tcPr>
            <w:tcW w:w="1436" w:type="dxa"/>
            <w:tcBorders>
              <w:left w:val="single" w:sz="6" w:space="0" w:color="auto"/>
              <w:right w:val="single" w:sz="6" w:space="0" w:color="auto"/>
            </w:tcBorders>
          </w:tcPr>
          <w:p w14:paraId="14D29694" w14:textId="77777777" w:rsidR="00F247C8" w:rsidRPr="008F6A10" w:rsidRDefault="00F247C8" w:rsidP="008F6A10">
            <w:pPr>
              <w:widowControl w:val="0"/>
              <w:jc w:val="center"/>
              <w:rPr>
                <w:rFonts w:cs="Arial"/>
                <w:snapToGrid w:val="0"/>
                <w:szCs w:val="24"/>
              </w:rPr>
            </w:pPr>
            <w:r w:rsidRPr="008F6A10">
              <w:rPr>
                <w:rFonts w:cs="Arial"/>
                <w:snapToGrid w:val="0"/>
                <w:szCs w:val="24"/>
              </w:rPr>
              <w:t>650</w:t>
            </w:r>
          </w:p>
        </w:tc>
        <w:tc>
          <w:tcPr>
            <w:tcW w:w="421" w:type="dxa"/>
            <w:tcBorders>
              <w:left w:val="single" w:sz="6" w:space="0" w:color="auto"/>
            </w:tcBorders>
          </w:tcPr>
          <w:p w14:paraId="6DE77A4A"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644B5082" w14:textId="77777777" w:rsidR="00F247C8" w:rsidRPr="008F6A10" w:rsidRDefault="00F247C8" w:rsidP="008F6A10">
            <w:pPr>
              <w:widowControl w:val="0"/>
              <w:rPr>
                <w:rFonts w:cs="Arial"/>
                <w:snapToGrid w:val="0"/>
                <w:szCs w:val="24"/>
              </w:rPr>
            </w:pPr>
            <w:r w:rsidRPr="008F6A10">
              <w:rPr>
                <w:rFonts w:cs="Arial"/>
                <w:snapToGrid w:val="0"/>
                <w:szCs w:val="24"/>
              </w:rPr>
              <w:t>Band 11</w:t>
            </w:r>
          </w:p>
        </w:tc>
        <w:tc>
          <w:tcPr>
            <w:tcW w:w="1438" w:type="dxa"/>
            <w:tcBorders>
              <w:left w:val="single" w:sz="6" w:space="0" w:color="auto"/>
              <w:right w:val="single" w:sz="6" w:space="0" w:color="auto"/>
            </w:tcBorders>
          </w:tcPr>
          <w:p w14:paraId="385C6D29" w14:textId="77777777" w:rsidR="00F247C8" w:rsidRPr="008F6A10" w:rsidRDefault="00D67126" w:rsidP="00224337">
            <w:pPr>
              <w:widowControl w:val="0"/>
              <w:jc w:val="center"/>
              <w:rPr>
                <w:rFonts w:cs="Arial"/>
                <w:snapToGrid w:val="0"/>
                <w:szCs w:val="24"/>
              </w:rPr>
            </w:pPr>
            <w:r>
              <w:rPr>
                <w:rFonts w:cs="Arial"/>
                <w:snapToGrid w:val="0"/>
                <w:szCs w:val="24"/>
              </w:rPr>
              <w:t>36</w:t>
            </w:r>
          </w:p>
        </w:tc>
        <w:tc>
          <w:tcPr>
            <w:tcW w:w="1771" w:type="dxa"/>
            <w:tcBorders>
              <w:right w:val="single" w:sz="6" w:space="0" w:color="auto"/>
            </w:tcBorders>
          </w:tcPr>
          <w:p w14:paraId="4CD480E1" w14:textId="77777777" w:rsidR="00F247C8" w:rsidRPr="008F6A10" w:rsidRDefault="00D67126" w:rsidP="00224337">
            <w:pPr>
              <w:widowControl w:val="0"/>
              <w:jc w:val="center"/>
              <w:rPr>
                <w:rFonts w:cs="Arial"/>
                <w:snapToGrid w:val="0"/>
                <w:szCs w:val="24"/>
              </w:rPr>
            </w:pPr>
            <w:r>
              <w:rPr>
                <w:rFonts w:cs="Arial"/>
                <w:snapToGrid w:val="0"/>
                <w:szCs w:val="24"/>
              </w:rPr>
              <w:t>38</w:t>
            </w:r>
          </w:p>
        </w:tc>
        <w:tc>
          <w:tcPr>
            <w:tcW w:w="168" w:type="dxa"/>
          </w:tcPr>
          <w:p w14:paraId="0F61206B" w14:textId="77777777" w:rsidR="00F247C8" w:rsidRPr="008F6A10" w:rsidRDefault="00F247C8" w:rsidP="008F6A10">
            <w:pPr>
              <w:widowControl w:val="0"/>
              <w:rPr>
                <w:rFonts w:cs="Arial"/>
                <w:snapToGrid w:val="0"/>
                <w:szCs w:val="24"/>
              </w:rPr>
            </w:pPr>
          </w:p>
        </w:tc>
      </w:tr>
      <w:tr w:rsidR="00F247C8" w:rsidRPr="008F6A10" w14:paraId="79F0C770" w14:textId="77777777" w:rsidTr="00EF3710">
        <w:trPr>
          <w:trHeight w:val="224"/>
        </w:trPr>
        <w:tc>
          <w:tcPr>
            <w:tcW w:w="1436" w:type="dxa"/>
            <w:tcBorders>
              <w:left w:val="single" w:sz="6" w:space="0" w:color="auto"/>
              <w:right w:val="single" w:sz="6" w:space="0" w:color="auto"/>
            </w:tcBorders>
          </w:tcPr>
          <w:p w14:paraId="5EE7846D" w14:textId="77777777" w:rsidR="00F247C8" w:rsidRPr="008F6A10" w:rsidRDefault="00F247C8" w:rsidP="008F6A10">
            <w:pPr>
              <w:widowControl w:val="0"/>
              <w:jc w:val="center"/>
              <w:rPr>
                <w:rFonts w:cs="Arial"/>
                <w:snapToGrid w:val="0"/>
                <w:szCs w:val="24"/>
              </w:rPr>
            </w:pPr>
            <w:r w:rsidRPr="008F6A10">
              <w:rPr>
                <w:rFonts w:cs="Arial"/>
                <w:snapToGrid w:val="0"/>
                <w:szCs w:val="24"/>
              </w:rPr>
              <w:t>651</w:t>
            </w:r>
          </w:p>
        </w:tc>
        <w:tc>
          <w:tcPr>
            <w:tcW w:w="1436" w:type="dxa"/>
            <w:tcBorders>
              <w:left w:val="single" w:sz="6" w:space="0" w:color="auto"/>
              <w:right w:val="single" w:sz="6" w:space="0" w:color="auto"/>
            </w:tcBorders>
          </w:tcPr>
          <w:p w14:paraId="72D03BA3" w14:textId="77777777" w:rsidR="00F247C8" w:rsidRPr="008F6A10" w:rsidRDefault="00F247C8" w:rsidP="008F6A10">
            <w:pPr>
              <w:widowControl w:val="0"/>
              <w:jc w:val="center"/>
              <w:rPr>
                <w:rFonts w:cs="Arial"/>
                <w:snapToGrid w:val="0"/>
                <w:szCs w:val="24"/>
              </w:rPr>
            </w:pPr>
            <w:r w:rsidRPr="008F6A10">
              <w:rPr>
                <w:rFonts w:cs="Arial"/>
                <w:snapToGrid w:val="0"/>
                <w:szCs w:val="24"/>
              </w:rPr>
              <w:t>695</w:t>
            </w:r>
          </w:p>
        </w:tc>
        <w:tc>
          <w:tcPr>
            <w:tcW w:w="421" w:type="dxa"/>
            <w:tcBorders>
              <w:left w:val="single" w:sz="6" w:space="0" w:color="auto"/>
            </w:tcBorders>
          </w:tcPr>
          <w:p w14:paraId="398CC796"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68D1AA91" w14:textId="77777777" w:rsidR="00F247C8" w:rsidRPr="008F6A10" w:rsidRDefault="00F247C8" w:rsidP="008F6A10">
            <w:pPr>
              <w:widowControl w:val="0"/>
              <w:rPr>
                <w:rFonts w:cs="Arial"/>
                <w:snapToGrid w:val="0"/>
                <w:szCs w:val="24"/>
              </w:rPr>
            </w:pPr>
            <w:r w:rsidRPr="008F6A10">
              <w:rPr>
                <w:rFonts w:cs="Arial"/>
                <w:snapToGrid w:val="0"/>
                <w:szCs w:val="24"/>
              </w:rPr>
              <w:t>Band 12</w:t>
            </w:r>
          </w:p>
        </w:tc>
        <w:tc>
          <w:tcPr>
            <w:tcW w:w="1438" w:type="dxa"/>
            <w:tcBorders>
              <w:left w:val="single" w:sz="6" w:space="0" w:color="auto"/>
              <w:right w:val="single" w:sz="6" w:space="0" w:color="auto"/>
            </w:tcBorders>
          </w:tcPr>
          <w:p w14:paraId="4E897E27" w14:textId="77777777" w:rsidR="00F247C8" w:rsidRPr="008F6A10" w:rsidRDefault="00D67126" w:rsidP="00224337">
            <w:pPr>
              <w:widowControl w:val="0"/>
              <w:jc w:val="center"/>
              <w:rPr>
                <w:rFonts w:cs="Arial"/>
                <w:snapToGrid w:val="0"/>
                <w:szCs w:val="24"/>
              </w:rPr>
            </w:pPr>
            <w:r>
              <w:rPr>
                <w:rFonts w:cs="Arial"/>
                <w:snapToGrid w:val="0"/>
                <w:szCs w:val="24"/>
              </w:rPr>
              <w:t>39</w:t>
            </w:r>
          </w:p>
        </w:tc>
        <w:tc>
          <w:tcPr>
            <w:tcW w:w="1771" w:type="dxa"/>
            <w:tcBorders>
              <w:right w:val="single" w:sz="6" w:space="0" w:color="auto"/>
            </w:tcBorders>
          </w:tcPr>
          <w:p w14:paraId="0BB97337" w14:textId="77777777" w:rsidR="00F247C8" w:rsidRPr="008F6A10" w:rsidRDefault="00D67126" w:rsidP="00224337">
            <w:pPr>
              <w:widowControl w:val="0"/>
              <w:jc w:val="center"/>
              <w:rPr>
                <w:rFonts w:cs="Arial"/>
                <w:snapToGrid w:val="0"/>
                <w:szCs w:val="24"/>
              </w:rPr>
            </w:pPr>
            <w:r>
              <w:rPr>
                <w:rFonts w:cs="Arial"/>
                <w:snapToGrid w:val="0"/>
                <w:szCs w:val="24"/>
              </w:rPr>
              <w:t>41</w:t>
            </w:r>
          </w:p>
        </w:tc>
        <w:tc>
          <w:tcPr>
            <w:tcW w:w="168" w:type="dxa"/>
          </w:tcPr>
          <w:p w14:paraId="6485BEAC" w14:textId="77777777" w:rsidR="00F247C8" w:rsidRPr="008F6A10" w:rsidRDefault="00F247C8" w:rsidP="008F6A10">
            <w:pPr>
              <w:widowControl w:val="0"/>
              <w:rPr>
                <w:rFonts w:cs="Arial"/>
                <w:snapToGrid w:val="0"/>
                <w:szCs w:val="24"/>
              </w:rPr>
            </w:pPr>
          </w:p>
        </w:tc>
      </w:tr>
      <w:tr w:rsidR="00F247C8" w:rsidRPr="008F6A10" w14:paraId="1AF92944" w14:textId="77777777" w:rsidTr="00EF3710">
        <w:trPr>
          <w:trHeight w:val="237"/>
        </w:trPr>
        <w:tc>
          <w:tcPr>
            <w:tcW w:w="1436" w:type="dxa"/>
            <w:tcBorders>
              <w:left w:val="single" w:sz="6" w:space="0" w:color="auto"/>
              <w:right w:val="single" w:sz="6" w:space="0" w:color="auto"/>
            </w:tcBorders>
          </w:tcPr>
          <w:p w14:paraId="252016AA" w14:textId="77777777" w:rsidR="00F247C8" w:rsidRPr="008F6A10" w:rsidRDefault="00F247C8" w:rsidP="008F6A10">
            <w:pPr>
              <w:widowControl w:val="0"/>
              <w:jc w:val="center"/>
              <w:rPr>
                <w:rFonts w:cs="Arial"/>
                <w:snapToGrid w:val="0"/>
                <w:szCs w:val="24"/>
              </w:rPr>
            </w:pPr>
            <w:r w:rsidRPr="008F6A10">
              <w:rPr>
                <w:rFonts w:cs="Arial"/>
                <w:snapToGrid w:val="0"/>
                <w:szCs w:val="24"/>
              </w:rPr>
              <w:t>696</w:t>
            </w:r>
          </w:p>
        </w:tc>
        <w:tc>
          <w:tcPr>
            <w:tcW w:w="1436" w:type="dxa"/>
            <w:tcBorders>
              <w:left w:val="single" w:sz="6" w:space="0" w:color="auto"/>
              <w:right w:val="single" w:sz="6" w:space="0" w:color="auto"/>
            </w:tcBorders>
          </w:tcPr>
          <w:p w14:paraId="5B123EB7" w14:textId="77777777" w:rsidR="00F247C8" w:rsidRPr="008F6A10" w:rsidRDefault="00F247C8" w:rsidP="008F6A10">
            <w:pPr>
              <w:widowControl w:val="0"/>
              <w:jc w:val="center"/>
              <w:rPr>
                <w:rFonts w:cs="Arial"/>
                <w:snapToGrid w:val="0"/>
                <w:szCs w:val="24"/>
              </w:rPr>
            </w:pPr>
            <w:r w:rsidRPr="008F6A10">
              <w:rPr>
                <w:rFonts w:cs="Arial"/>
                <w:snapToGrid w:val="0"/>
                <w:szCs w:val="24"/>
              </w:rPr>
              <w:t>735</w:t>
            </w:r>
          </w:p>
        </w:tc>
        <w:tc>
          <w:tcPr>
            <w:tcW w:w="421" w:type="dxa"/>
            <w:tcBorders>
              <w:left w:val="single" w:sz="6" w:space="0" w:color="auto"/>
            </w:tcBorders>
          </w:tcPr>
          <w:p w14:paraId="65FCCCD8" w14:textId="77777777" w:rsidR="00F247C8" w:rsidRPr="008F6A10" w:rsidRDefault="00F247C8" w:rsidP="008F6A10">
            <w:pPr>
              <w:widowControl w:val="0"/>
              <w:rPr>
                <w:rFonts w:cs="Arial"/>
                <w:snapToGrid w:val="0"/>
                <w:szCs w:val="24"/>
              </w:rPr>
            </w:pPr>
          </w:p>
        </w:tc>
        <w:tc>
          <w:tcPr>
            <w:tcW w:w="1436" w:type="dxa"/>
            <w:tcBorders>
              <w:right w:val="single" w:sz="6" w:space="0" w:color="auto"/>
            </w:tcBorders>
          </w:tcPr>
          <w:p w14:paraId="2E4B568F" w14:textId="77777777" w:rsidR="00F247C8" w:rsidRPr="008F6A10" w:rsidRDefault="00F247C8" w:rsidP="008F6A10">
            <w:pPr>
              <w:widowControl w:val="0"/>
              <w:rPr>
                <w:rFonts w:cs="Arial"/>
                <w:snapToGrid w:val="0"/>
                <w:szCs w:val="24"/>
              </w:rPr>
            </w:pPr>
            <w:r w:rsidRPr="008F6A10">
              <w:rPr>
                <w:rFonts w:cs="Arial"/>
                <w:snapToGrid w:val="0"/>
                <w:szCs w:val="24"/>
              </w:rPr>
              <w:t>Band 13</w:t>
            </w:r>
          </w:p>
        </w:tc>
        <w:tc>
          <w:tcPr>
            <w:tcW w:w="1438" w:type="dxa"/>
            <w:tcBorders>
              <w:left w:val="single" w:sz="6" w:space="0" w:color="auto"/>
              <w:right w:val="single" w:sz="6" w:space="0" w:color="auto"/>
            </w:tcBorders>
          </w:tcPr>
          <w:p w14:paraId="1B44687E" w14:textId="77777777" w:rsidR="00F247C8" w:rsidRPr="008F6A10" w:rsidRDefault="00D67126" w:rsidP="00224337">
            <w:pPr>
              <w:widowControl w:val="0"/>
              <w:jc w:val="center"/>
              <w:rPr>
                <w:rFonts w:cs="Arial"/>
                <w:snapToGrid w:val="0"/>
                <w:szCs w:val="24"/>
              </w:rPr>
            </w:pPr>
            <w:r>
              <w:rPr>
                <w:rFonts w:cs="Arial"/>
                <w:snapToGrid w:val="0"/>
                <w:szCs w:val="24"/>
              </w:rPr>
              <w:t>42</w:t>
            </w:r>
          </w:p>
        </w:tc>
        <w:tc>
          <w:tcPr>
            <w:tcW w:w="1771" w:type="dxa"/>
            <w:tcBorders>
              <w:right w:val="single" w:sz="6" w:space="0" w:color="auto"/>
            </w:tcBorders>
          </w:tcPr>
          <w:p w14:paraId="2A697A9F" w14:textId="77777777" w:rsidR="00F247C8" w:rsidRPr="008F6A10" w:rsidRDefault="00D67126" w:rsidP="00224337">
            <w:pPr>
              <w:widowControl w:val="0"/>
              <w:jc w:val="center"/>
              <w:rPr>
                <w:rFonts w:cs="Arial"/>
                <w:snapToGrid w:val="0"/>
                <w:szCs w:val="24"/>
              </w:rPr>
            </w:pPr>
            <w:r>
              <w:rPr>
                <w:rFonts w:cs="Arial"/>
                <w:snapToGrid w:val="0"/>
                <w:szCs w:val="24"/>
              </w:rPr>
              <w:t>50</w:t>
            </w:r>
          </w:p>
        </w:tc>
        <w:tc>
          <w:tcPr>
            <w:tcW w:w="168" w:type="dxa"/>
          </w:tcPr>
          <w:p w14:paraId="2B91FF3A" w14:textId="77777777" w:rsidR="00F247C8" w:rsidRPr="008F6A10" w:rsidRDefault="00F247C8" w:rsidP="008F6A10">
            <w:pPr>
              <w:widowControl w:val="0"/>
              <w:rPr>
                <w:rFonts w:cs="Arial"/>
                <w:snapToGrid w:val="0"/>
                <w:szCs w:val="24"/>
              </w:rPr>
            </w:pPr>
          </w:p>
        </w:tc>
      </w:tr>
      <w:tr w:rsidR="00F247C8" w:rsidRPr="008F6A10" w14:paraId="6D4AE4C5" w14:textId="77777777" w:rsidTr="00EF3710">
        <w:trPr>
          <w:trHeight w:val="224"/>
        </w:trPr>
        <w:tc>
          <w:tcPr>
            <w:tcW w:w="1436" w:type="dxa"/>
            <w:tcBorders>
              <w:left w:val="single" w:sz="6" w:space="0" w:color="auto"/>
              <w:bottom w:val="single" w:sz="6" w:space="0" w:color="auto"/>
              <w:right w:val="single" w:sz="6" w:space="0" w:color="auto"/>
            </w:tcBorders>
          </w:tcPr>
          <w:p w14:paraId="63B0DD55" w14:textId="77777777" w:rsidR="00F247C8" w:rsidRPr="008F6A10" w:rsidRDefault="00F247C8" w:rsidP="008F6A10">
            <w:pPr>
              <w:widowControl w:val="0"/>
              <w:jc w:val="center"/>
              <w:rPr>
                <w:rFonts w:cs="Arial"/>
                <w:snapToGrid w:val="0"/>
                <w:szCs w:val="24"/>
              </w:rPr>
            </w:pPr>
            <w:r w:rsidRPr="008F6A10">
              <w:rPr>
                <w:rFonts w:cs="Arial"/>
                <w:snapToGrid w:val="0"/>
                <w:szCs w:val="24"/>
              </w:rPr>
              <w:t>736</w:t>
            </w:r>
          </w:p>
        </w:tc>
        <w:tc>
          <w:tcPr>
            <w:tcW w:w="1436" w:type="dxa"/>
            <w:tcBorders>
              <w:left w:val="single" w:sz="6" w:space="0" w:color="auto"/>
              <w:bottom w:val="single" w:sz="6" w:space="0" w:color="auto"/>
              <w:right w:val="single" w:sz="6" w:space="0" w:color="auto"/>
            </w:tcBorders>
          </w:tcPr>
          <w:p w14:paraId="1327F899" w14:textId="77777777" w:rsidR="00F247C8" w:rsidRPr="008F6A10" w:rsidRDefault="00F247C8" w:rsidP="008F6A10">
            <w:pPr>
              <w:widowControl w:val="0"/>
              <w:jc w:val="center"/>
              <w:rPr>
                <w:rFonts w:cs="Arial"/>
                <w:snapToGrid w:val="0"/>
                <w:szCs w:val="24"/>
              </w:rPr>
            </w:pPr>
            <w:r w:rsidRPr="008F6A10">
              <w:rPr>
                <w:rFonts w:cs="Arial"/>
                <w:snapToGrid w:val="0"/>
                <w:szCs w:val="24"/>
              </w:rPr>
              <w:t>800</w:t>
            </w:r>
          </w:p>
        </w:tc>
        <w:tc>
          <w:tcPr>
            <w:tcW w:w="421" w:type="dxa"/>
            <w:tcBorders>
              <w:left w:val="single" w:sz="6" w:space="0" w:color="auto"/>
              <w:bottom w:val="single" w:sz="6" w:space="0" w:color="auto"/>
            </w:tcBorders>
          </w:tcPr>
          <w:p w14:paraId="7F78BC93" w14:textId="77777777" w:rsidR="00F247C8" w:rsidRPr="008F6A10" w:rsidRDefault="00F247C8" w:rsidP="008F6A10">
            <w:pPr>
              <w:widowControl w:val="0"/>
              <w:rPr>
                <w:rFonts w:cs="Arial"/>
                <w:snapToGrid w:val="0"/>
                <w:szCs w:val="24"/>
              </w:rPr>
            </w:pPr>
          </w:p>
        </w:tc>
        <w:tc>
          <w:tcPr>
            <w:tcW w:w="1436" w:type="dxa"/>
            <w:tcBorders>
              <w:bottom w:val="single" w:sz="6" w:space="0" w:color="auto"/>
              <w:right w:val="single" w:sz="6" w:space="0" w:color="auto"/>
            </w:tcBorders>
          </w:tcPr>
          <w:p w14:paraId="55E7600B" w14:textId="77777777" w:rsidR="00F247C8" w:rsidRPr="008F6A10" w:rsidRDefault="00F247C8" w:rsidP="008F6A10">
            <w:pPr>
              <w:widowControl w:val="0"/>
              <w:rPr>
                <w:rFonts w:cs="Arial"/>
                <w:snapToGrid w:val="0"/>
                <w:szCs w:val="24"/>
              </w:rPr>
            </w:pPr>
            <w:r w:rsidRPr="008F6A10">
              <w:rPr>
                <w:rFonts w:cs="Arial"/>
                <w:snapToGrid w:val="0"/>
                <w:szCs w:val="24"/>
              </w:rPr>
              <w:t>Band 14</w:t>
            </w:r>
          </w:p>
        </w:tc>
        <w:tc>
          <w:tcPr>
            <w:tcW w:w="1438" w:type="dxa"/>
            <w:tcBorders>
              <w:left w:val="single" w:sz="6" w:space="0" w:color="auto"/>
              <w:bottom w:val="single" w:sz="6" w:space="0" w:color="auto"/>
              <w:right w:val="single" w:sz="6" w:space="0" w:color="auto"/>
            </w:tcBorders>
          </w:tcPr>
          <w:p w14:paraId="285C5D97" w14:textId="77777777" w:rsidR="00F247C8" w:rsidRPr="008F6A10" w:rsidRDefault="00224337" w:rsidP="00224337">
            <w:pPr>
              <w:widowControl w:val="0"/>
              <w:jc w:val="center"/>
              <w:rPr>
                <w:rFonts w:cs="Arial"/>
                <w:snapToGrid w:val="0"/>
                <w:szCs w:val="24"/>
              </w:rPr>
            </w:pPr>
            <w:r>
              <w:rPr>
                <w:rFonts w:cs="Arial"/>
                <w:snapToGrid w:val="0"/>
                <w:szCs w:val="24"/>
              </w:rPr>
              <w:t>54</w:t>
            </w:r>
          </w:p>
        </w:tc>
        <w:tc>
          <w:tcPr>
            <w:tcW w:w="1771" w:type="dxa"/>
            <w:tcBorders>
              <w:bottom w:val="single" w:sz="6" w:space="0" w:color="auto"/>
              <w:right w:val="single" w:sz="6" w:space="0" w:color="auto"/>
            </w:tcBorders>
          </w:tcPr>
          <w:p w14:paraId="7A7F2A4A" w14:textId="77777777" w:rsidR="00F247C8" w:rsidRPr="008F6A10" w:rsidRDefault="00224337" w:rsidP="008F6A10">
            <w:pPr>
              <w:widowControl w:val="0"/>
              <w:jc w:val="center"/>
              <w:rPr>
                <w:rFonts w:cs="Arial"/>
                <w:snapToGrid w:val="0"/>
                <w:szCs w:val="24"/>
              </w:rPr>
            </w:pPr>
            <w:r>
              <w:rPr>
                <w:rFonts w:cs="Arial"/>
                <w:snapToGrid w:val="0"/>
                <w:szCs w:val="24"/>
              </w:rPr>
              <w:t>56</w:t>
            </w:r>
          </w:p>
        </w:tc>
        <w:tc>
          <w:tcPr>
            <w:tcW w:w="168" w:type="dxa"/>
          </w:tcPr>
          <w:p w14:paraId="7B86612D" w14:textId="77777777" w:rsidR="00F247C8" w:rsidRPr="008F6A10" w:rsidRDefault="00F247C8" w:rsidP="008F6A10">
            <w:pPr>
              <w:widowControl w:val="0"/>
              <w:rPr>
                <w:rFonts w:cs="Arial"/>
                <w:snapToGrid w:val="0"/>
                <w:szCs w:val="24"/>
              </w:rPr>
            </w:pPr>
          </w:p>
        </w:tc>
      </w:tr>
      <w:tr w:rsidR="00F247C8" w14:paraId="4CF8B029" w14:textId="77777777" w:rsidTr="00EF3710">
        <w:trPr>
          <w:trHeight w:val="224"/>
        </w:trPr>
        <w:tc>
          <w:tcPr>
            <w:tcW w:w="1436" w:type="dxa"/>
          </w:tcPr>
          <w:p w14:paraId="6D374948" w14:textId="77777777" w:rsidR="00F247C8" w:rsidRDefault="00F247C8" w:rsidP="008F6A10">
            <w:pPr>
              <w:widowControl w:val="0"/>
              <w:rPr>
                <w:snapToGrid w:val="0"/>
              </w:rPr>
            </w:pPr>
          </w:p>
        </w:tc>
        <w:tc>
          <w:tcPr>
            <w:tcW w:w="1436" w:type="dxa"/>
          </w:tcPr>
          <w:p w14:paraId="7D0348C3" w14:textId="77777777" w:rsidR="00F247C8" w:rsidRDefault="00F247C8" w:rsidP="008F6A10">
            <w:pPr>
              <w:widowControl w:val="0"/>
              <w:rPr>
                <w:snapToGrid w:val="0"/>
              </w:rPr>
            </w:pPr>
          </w:p>
        </w:tc>
        <w:tc>
          <w:tcPr>
            <w:tcW w:w="421" w:type="dxa"/>
          </w:tcPr>
          <w:p w14:paraId="020B598E" w14:textId="77777777" w:rsidR="00F247C8" w:rsidRDefault="00F247C8" w:rsidP="008F6A10">
            <w:pPr>
              <w:widowControl w:val="0"/>
              <w:rPr>
                <w:snapToGrid w:val="0"/>
              </w:rPr>
            </w:pPr>
          </w:p>
        </w:tc>
        <w:tc>
          <w:tcPr>
            <w:tcW w:w="1436" w:type="dxa"/>
          </w:tcPr>
          <w:p w14:paraId="087741AE" w14:textId="77777777" w:rsidR="00F247C8" w:rsidRDefault="00F247C8" w:rsidP="008F6A10">
            <w:pPr>
              <w:widowControl w:val="0"/>
              <w:rPr>
                <w:snapToGrid w:val="0"/>
              </w:rPr>
            </w:pPr>
          </w:p>
        </w:tc>
        <w:tc>
          <w:tcPr>
            <w:tcW w:w="1438" w:type="dxa"/>
          </w:tcPr>
          <w:p w14:paraId="621F6051" w14:textId="77777777" w:rsidR="00F247C8" w:rsidRDefault="00F247C8" w:rsidP="008F6A10">
            <w:pPr>
              <w:widowControl w:val="0"/>
              <w:rPr>
                <w:snapToGrid w:val="0"/>
              </w:rPr>
            </w:pPr>
          </w:p>
        </w:tc>
        <w:tc>
          <w:tcPr>
            <w:tcW w:w="1771" w:type="dxa"/>
          </w:tcPr>
          <w:p w14:paraId="68BEE56C" w14:textId="77777777" w:rsidR="00F247C8" w:rsidRDefault="00F247C8" w:rsidP="008F6A10">
            <w:pPr>
              <w:widowControl w:val="0"/>
              <w:rPr>
                <w:snapToGrid w:val="0"/>
              </w:rPr>
            </w:pPr>
          </w:p>
        </w:tc>
        <w:tc>
          <w:tcPr>
            <w:tcW w:w="168" w:type="dxa"/>
          </w:tcPr>
          <w:p w14:paraId="7E744143" w14:textId="77777777" w:rsidR="00F247C8" w:rsidRDefault="00F247C8" w:rsidP="008F6A10">
            <w:pPr>
              <w:widowControl w:val="0"/>
              <w:rPr>
                <w:snapToGrid w:val="0"/>
              </w:rPr>
            </w:pPr>
          </w:p>
        </w:tc>
      </w:tr>
      <w:tr w:rsidR="0076359F" w14:paraId="0D52F491" w14:textId="77777777" w:rsidTr="00EF3710">
        <w:trPr>
          <w:trHeight w:val="224"/>
        </w:trPr>
        <w:tc>
          <w:tcPr>
            <w:tcW w:w="7938" w:type="dxa"/>
            <w:gridSpan w:val="6"/>
          </w:tcPr>
          <w:p w14:paraId="7B8AE271" w14:textId="54320847" w:rsidR="0076359F" w:rsidRDefault="001C6A79" w:rsidP="001C6A79">
            <w:pPr>
              <w:widowControl w:val="0"/>
              <w:rPr>
                <w:snapToGrid w:val="0"/>
              </w:rPr>
            </w:pPr>
            <w:r>
              <w:rPr>
                <w:snapToGrid w:val="0"/>
              </w:rPr>
              <w:t xml:space="preserve">Band 1 is available as a training grade. Band </w:t>
            </w:r>
            <w:r w:rsidR="00EF3710">
              <w:rPr>
                <w:snapToGrid w:val="0"/>
              </w:rPr>
              <w:t>3 (SCP5)</w:t>
            </w:r>
            <w:r>
              <w:rPr>
                <w:snapToGrid w:val="0"/>
              </w:rPr>
              <w:t xml:space="preserve"> is the minimum rate of pay for job evaluated posts. </w:t>
            </w:r>
            <w:r w:rsidR="00224337">
              <w:rPr>
                <w:snapToGrid w:val="0"/>
              </w:rPr>
              <w:t xml:space="preserve"> </w:t>
            </w:r>
          </w:p>
        </w:tc>
        <w:tc>
          <w:tcPr>
            <w:tcW w:w="168" w:type="dxa"/>
          </w:tcPr>
          <w:p w14:paraId="1A1E092E" w14:textId="77777777" w:rsidR="0076359F" w:rsidRDefault="0076359F" w:rsidP="008F6A10">
            <w:pPr>
              <w:widowControl w:val="0"/>
              <w:rPr>
                <w:snapToGrid w:val="0"/>
              </w:rPr>
            </w:pPr>
          </w:p>
        </w:tc>
      </w:tr>
    </w:tbl>
    <w:p w14:paraId="427D23C3" w14:textId="77777777" w:rsidR="003D19FA" w:rsidRDefault="003D19FA" w:rsidP="00222CE1"/>
    <w:p w14:paraId="55D1B572" w14:textId="77777777" w:rsidR="00222CE1" w:rsidRDefault="00222CE1" w:rsidP="00222CE1"/>
    <w:p w14:paraId="692ACCCC" w14:textId="77777777" w:rsidR="00DA3C2F" w:rsidRDefault="00DA3C2F" w:rsidP="00222CE1">
      <w:pPr>
        <w:jc w:val="right"/>
        <w:sectPr w:rsidR="00DA3C2F" w:rsidSect="003C05E8">
          <w:pgSz w:w="12240" w:h="15840"/>
          <w:pgMar w:top="567" w:right="758" w:bottom="568" w:left="1276" w:header="288" w:footer="720" w:gutter="0"/>
          <w:cols w:space="720"/>
          <w:docGrid w:linePitch="326"/>
        </w:sectPr>
      </w:pPr>
    </w:p>
    <w:p w14:paraId="29FFAE03" w14:textId="77777777" w:rsidR="00F16738" w:rsidRDefault="00EA654F" w:rsidP="00DA3C2F">
      <w:pPr>
        <w:spacing w:after="120"/>
      </w:pPr>
      <w:r>
        <w:rPr>
          <w:b/>
          <w:sz w:val="28"/>
          <w:szCs w:val="28"/>
        </w:rPr>
        <w:t>Head of Service</w:t>
      </w:r>
      <w:r w:rsidR="00DA3C2F" w:rsidRPr="00C02FE6">
        <w:rPr>
          <w:b/>
          <w:sz w:val="28"/>
          <w:szCs w:val="28"/>
        </w:rPr>
        <w:t xml:space="preserve">- assessment model </w:t>
      </w:r>
      <w:r w:rsidR="00DA3C2F">
        <w:rPr>
          <w:b/>
          <w:sz w:val="28"/>
          <w:szCs w:val="28"/>
        </w:rPr>
        <w:t xml:space="preserve">                                                                                                     </w:t>
      </w:r>
      <w:r w:rsidR="00BA7DD3">
        <w:t xml:space="preserve">Appendix ii </w:t>
      </w:r>
    </w:p>
    <w:p w14:paraId="50C38540" w14:textId="77777777" w:rsidR="00CC5F22" w:rsidRPr="00DA3C2F" w:rsidRDefault="00DA3C2F" w:rsidP="00DA3C2F">
      <w:pPr>
        <w:spacing w:after="120"/>
        <w:rPr>
          <w:b/>
        </w:rPr>
      </w:pPr>
      <w:r>
        <w:t xml:space="preserve">The assessment </w:t>
      </w:r>
      <w:r w:rsidRPr="00265579">
        <w:t xml:space="preserve">grid places each </w:t>
      </w:r>
      <w:r w:rsidR="00EA654F">
        <w:t>Head of Service</w:t>
      </w:r>
      <w:r w:rsidRPr="00265579">
        <w:t xml:space="preserve"> post into one of three levels against five factors.</w:t>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678"/>
        <w:gridCol w:w="4537"/>
        <w:gridCol w:w="4109"/>
      </w:tblGrid>
      <w:tr w:rsidR="00CC5F22" w:rsidRPr="00327ABF" w14:paraId="66A90D70" w14:textId="77777777" w:rsidTr="00DA3C2F">
        <w:tc>
          <w:tcPr>
            <w:tcW w:w="1418" w:type="dxa"/>
            <w:shd w:val="clear" w:color="auto" w:fill="auto"/>
          </w:tcPr>
          <w:p w14:paraId="77DBD21F" w14:textId="77777777" w:rsidR="00CC5F22" w:rsidRPr="00327ABF" w:rsidRDefault="00CC5F22" w:rsidP="005C51FA"/>
        </w:tc>
        <w:tc>
          <w:tcPr>
            <w:tcW w:w="4678" w:type="dxa"/>
            <w:shd w:val="clear" w:color="auto" w:fill="auto"/>
          </w:tcPr>
          <w:p w14:paraId="4718E25A" w14:textId="77777777" w:rsidR="00CC5F22" w:rsidRPr="00327ABF" w:rsidRDefault="00CC5F22" w:rsidP="005C51FA">
            <w:r w:rsidRPr="00327ABF">
              <w:t>High (level 1)</w:t>
            </w:r>
          </w:p>
        </w:tc>
        <w:tc>
          <w:tcPr>
            <w:tcW w:w="4537" w:type="dxa"/>
            <w:shd w:val="clear" w:color="auto" w:fill="auto"/>
          </w:tcPr>
          <w:p w14:paraId="20B07089" w14:textId="77777777" w:rsidR="00CC5F22" w:rsidRPr="00327ABF" w:rsidRDefault="00CC5F22" w:rsidP="005C51FA">
            <w:r w:rsidRPr="00327ABF">
              <w:t>Higher (level 2)</w:t>
            </w:r>
          </w:p>
        </w:tc>
        <w:tc>
          <w:tcPr>
            <w:tcW w:w="4109" w:type="dxa"/>
            <w:shd w:val="clear" w:color="auto" w:fill="auto"/>
          </w:tcPr>
          <w:p w14:paraId="2BDA0971" w14:textId="77777777" w:rsidR="00CC5F22" w:rsidRPr="00327ABF" w:rsidRDefault="00CC5F22" w:rsidP="005C51FA">
            <w:r w:rsidRPr="00327ABF">
              <w:t>Highest (level 3)</w:t>
            </w:r>
          </w:p>
        </w:tc>
      </w:tr>
      <w:tr w:rsidR="00CC5F22" w:rsidRPr="00327ABF" w14:paraId="1EECF97C" w14:textId="77777777" w:rsidTr="00DA3C2F">
        <w:tc>
          <w:tcPr>
            <w:tcW w:w="1418" w:type="dxa"/>
            <w:shd w:val="clear" w:color="auto" w:fill="auto"/>
          </w:tcPr>
          <w:p w14:paraId="7E757646" w14:textId="77777777" w:rsidR="00CC5F22" w:rsidRPr="00327ABF" w:rsidRDefault="00CC5F22" w:rsidP="005C51FA">
            <w:r w:rsidRPr="00327ABF">
              <w:t>General impact</w:t>
            </w:r>
          </w:p>
        </w:tc>
        <w:tc>
          <w:tcPr>
            <w:tcW w:w="4678" w:type="dxa"/>
            <w:shd w:val="clear" w:color="auto" w:fill="auto"/>
          </w:tcPr>
          <w:p w14:paraId="7B474D8B" w14:textId="77777777" w:rsidR="00CC5F22" w:rsidRPr="00327ABF" w:rsidRDefault="00CC5F22" w:rsidP="005C51FA">
            <w:r w:rsidRPr="00327ABF">
              <w:t xml:space="preserve">Decision-making is not often likely to be potentially contentious.  Decisions made are important to the operational aspects of service delivery but are mainly likely to have short-term or limited internal or external impact.  Limited or infrequent requirement to create or review substantial policies or processes.     </w:t>
            </w:r>
          </w:p>
        </w:tc>
        <w:tc>
          <w:tcPr>
            <w:tcW w:w="4537" w:type="dxa"/>
            <w:shd w:val="clear" w:color="auto" w:fill="auto"/>
          </w:tcPr>
          <w:p w14:paraId="7976BFE9" w14:textId="77777777" w:rsidR="00CC5F22" w:rsidRPr="00327ABF" w:rsidRDefault="00CC5F22" w:rsidP="005C51FA">
            <w:r w:rsidRPr="00327ABF">
              <w:t xml:space="preserve">There is a frequent need to take decisions that will potentially have substantial and long-term impact on the service area that have financial, operational or consequence.   </w:t>
            </w:r>
          </w:p>
        </w:tc>
        <w:tc>
          <w:tcPr>
            <w:tcW w:w="4109" w:type="dxa"/>
            <w:shd w:val="clear" w:color="auto" w:fill="auto"/>
          </w:tcPr>
          <w:p w14:paraId="5BAD3592" w14:textId="77777777" w:rsidR="00CC5F22" w:rsidRPr="00327ABF" w:rsidRDefault="00CC5F22" w:rsidP="005C51FA">
            <w:r w:rsidRPr="00327ABF">
              <w:t xml:space="preserve">There is a frequent need to take decisions that will potentially have substantial and long-term impact on the organisation (not just the service) that have financial, operational or l consequence.     </w:t>
            </w:r>
          </w:p>
        </w:tc>
      </w:tr>
      <w:tr w:rsidR="00CC5F22" w:rsidRPr="00327ABF" w14:paraId="02EB6C48" w14:textId="77777777" w:rsidTr="00DA3C2F">
        <w:tc>
          <w:tcPr>
            <w:tcW w:w="1418" w:type="dxa"/>
            <w:shd w:val="clear" w:color="auto" w:fill="auto"/>
          </w:tcPr>
          <w:p w14:paraId="042BBC8D" w14:textId="77777777" w:rsidR="00CC5F22" w:rsidRPr="00327ABF" w:rsidRDefault="00CC5F22" w:rsidP="005C51FA">
            <w:r w:rsidRPr="00327ABF">
              <w:t>Customer &amp; organisational impact</w:t>
            </w:r>
          </w:p>
        </w:tc>
        <w:tc>
          <w:tcPr>
            <w:tcW w:w="4678" w:type="dxa"/>
            <w:shd w:val="clear" w:color="auto" w:fill="auto"/>
          </w:tcPr>
          <w:p w14:paraId="1CED3109" w14:textId="77777777" w:rsidR="00CC5F22" w:rsidRPr="00327ABF" w:rsidRDefault="00CC5F22" w:rsidP="005C51FA">
            <w:r w:rsidRPr="00327ABF">
              <w:t>There is a requirement to contribute to corporate policies or procedures in respect of the service area only.</w:t>
            </w:r>
          </w:p>
        </w:tc>
        <w:tc>
          <w:tcPr>
            <w:tcW w:w="4537" w:type="dxa"/>
            <w:shd w:val="clear" w:color="auto" w:fill="auto"/>
          </w:tcPr>
          <w:p w14:paraId="527EE881" w14:textId="77777777" w:rsidR="00CC5F22" w:rsidRPr="00327ABF" w:rsidRDefault="00CC5F22" w:rsidP="005C51FA">
            <w:r w:rsidRPr="00327ABF">
              <w:t>There is some requirement to contribute to corporate policies or procedures.</w:t>
            </w:r>
          </w:p>
          <w:p w14:paraId="69AA8C94" w14:textId="77777777" w:rsidR="00CC5F22" w:rsidRPr="00327ABF" w:rsidRDefault="00CC5F22" w:rsidP="005C51FA">
            <w:r w:rsidRPr="00327ABF">
              <w:t>The job has significant political/reputational impact</w:t>
            </w:r>
          </w:p>
        </w:tc>
        <w:tc>
          <w:tcPr>
            <w:tcW w:w="4109" w:type="dxa"/>
            <w:shd w:val="clear" w:color="auto" w:fill="auto"/>
          </w:tcPr>
          <w:p w14:paraId="4EE0034C" w14:textId="77777777" w:rsidR="00CC5F22" w:rsidRPr="00327ABF" w:rsidRDefault="00CC5F22" w:rsidP="005C51FA">
            <w:r w:rsidRPr="00327ABF">
              <w:t xml:space="preserve">There is a strong focus on the contribution to corporate policies or </w:t>
            </w:r>
            <w:proofErr w:type="gramStart"/>
            <w:r w:rsidRPr="00327ABF">
              <w:t>The</w:t>
            </w:r>
            <w:proofErr w:type="gramEnd"/>
            <w:r w:rsidRPr="00327ABF">
              <w:t xml:space="preserve"> job has major political/reputational impact procedures.</w:t>
            </w:r>
          </w:p>
        </w:tc>
      </w:tr>
      <w:tr w:rsidR="00CC5F22" w:rsidRPr="00327ABF" w14:paraId="057596D9" w14:textId="77777777" w:rsidTr="00DA3C2F">
        <w:tc>
          <w:tcPr>
            <w:tcW w:w="1418" w:type="dxa"/>
            <w:shd w:val="clear" w:color="auto" w:fill="auto"/>
          </w:tcPr>
          <w:p w14:paraId="1CA5A853" w14:textId="77777777" w:rsidR="00CC5F22" w:rsidRPr="00327ABF" w:rsidRDefault="00CC5F22" w:rsidP="005C51FA">
            <w:r w:rsidRPr="00327ABF">
              <w:t>Complexity</w:t>
            </w:r>
          </w:p>
        </w:tc>
        <w:tc>
          <w:tcPr>
            <w:tcW w:w="4678" w:type="dxa"/>
            <w:shd w:val="clear" w:color="auto" w:fill="auto"/>
          </w:tcPr>
          <w:p w14:paraId="1A374B67" w14:textId="77777777" w:rsidR="00CC5F22" w:rsidRPr="00327ABF" w:rsidRDefault="00CC5F22" w:rsidP="005C51FA">
            <w:r w:rsidRPr="00327ABF">
              <w:t xml:space="preserve">The delivery of the service is largely operational and routine.  There is a need to work with other services or </w:t>
            </w:r>
            <w:proofErr w:type="gramStart"/>
            <w:r w:rsidRPr="00327ABF">
              <w:t>agencies</w:t>
            </w:r>
            <w:proofErr w:type="gramEnd"/>
            <w:r w:rsidRPr="00327ABF">
              <w:t xml:space="preserve"> but the work is largely routine or transactional in nature.</w:t>
            </w:r>
          </w:p>
          <w:p w14:paraId="56547154" w14:textId="77777777" w:rsidR="00CC5F22" w:rsidRPr="00327ABF" w:rsidRDefault="00CC5F22" w:rsidP="005C51FA">
            <w:r w:rsidRPr="00327ABF">
              <w:t>Policy/strategy work is generally for the service area only.</w:t>
            </w:r>
          </w:p>
        </w:tc>
        <w:tc>
          <w:tcPr>
            <w:tcW w:w="4537" w:type="dxa"/>
            <w:shd w:val="clear" w:color="auto" w:fill="auto"/>
          </w:tcPr>
          <w:p w14:paraId="008C853A" w14:textId="77777777" w:rsidR="00CC5F22" w:rsidRPr="00327ABF" w:rsidRDefault="00CC5F22" w:rsidP="005C51FA">
            <w:r w:rsidRPr="00327ABF">
              <w:t xml:space="preserve">The delivery of the service is generally operational and routine although some aspects of the service need to frequently deliver solutions to problems or case management issues that are not straightforward and can have multiple outcomes. </w:t>
            </w:r>
          </w:p>
        </w:tc>
        <w:tc>
          <w:tcPr>
            <w:tcW w:w="4109" w:type="dxa"/>
            <w:shd w:val="clear" w:color="auto" w:fill="auto"/>
          </w:tcPr>
          <w:p w14:paraId="29DFB027" w14:textId="77777777" w:rsidR="00CC5F22" w:rsidRPr="00327ABF" w:rsidRDefault="00CC5F22" w:rsidP="005C51FA">
            <w:r w:rsidRPr="00327ABF">
              <w:t xml:space="preserve">The delivery of most aspects of the service is not easily determined by established guidance, </w:t>
            </w:r>
            <w:proofErr w:type="gramStart"/>
            <w:r w:rsidRPr="00327ABF">
              <w:t>procedures</w:t>
            </w:r>
            <w:proofErr w:type="gramEnd"/>
            <w:r w:rsidRPr="00327ABF">
              <w:t xml:space="preserve"> and process. The service is likely to have an emphasis on case management, problem solving, partnering (internal or external) or project working. Strategy work is complex and impacts on a substantial range of council services.</w:t>
            </w:r>
          </w:p>
        </w:tc>
      </w:tr>
      <w:tr w:rsidR="00CC5F22" w:rsidRPr="00327ABF" w14:paraId="43849AF0" w14:textId="77777777" w:rsidTr="00DA3C2F">
        <w:tc>
          <w:tcPr>
            <w:tcW w:w="1418" w:type="dxa"/>
            <w:shd w:val="clear" w:color="auto" w:fill="auto"/>
          </w:tcPr>
          <w:p w14:paraId="0B28B72C" w14:textId="77777777" w:rsidR="00CC5F22" w:rsidRPr="00327ABF" w:rsidRDefault="00CC5F22" w:rsidP="005C51FA">
            <w:r w:rsidRPr="00327ABF">
              <w:t>Market</w:t>
            </w:r>
          </w:p>
        </w:tc>
        <w:tc>
          <w:tcPr>
            <w:tcW w:w="4678" w:type="dxa"/>
            <w:shd w:val="clear" w:color="auto" w:fill="auto"/>
          </w:tcPr>
          <w:p w14:paraId="3407D4E3" w14:textId="77777777" w:rsidR="00CC5F22" w:rsidRPr="00327ABF" w:rsidRDefault="00CC5F22" w:rsidP="005C51FA">
            <w:r w:rsidRPr="00327ABF">
              <w:t xml:space="preserve">Determined by market analytics (comparator jobs, Hay data etc.) as being a post that may be comparatively easy to fill.  The service area may be limited in breadth.  The local market would readily provide </w:t>
            </w:r>
            <w:proofErr w:type="gramStart"/>
            <w:r w:rsidRPr="00327ABF">
              <w:t>a number of</w:t>
            </w:r>
            <w:proofErr w:type="gramEnd"/>
            <w:r w:rsidRPr="00327ABF">
              <w:t xml:space="preserve"> good quality applicants for any vacancy advertised. </w:t>
            </w:r>
          </w:p>
        </w:tc>
        <w:tc>
          <w:tcPr>
            <w:tcW w:w="4537" w:type="dxa"/>
            <w:shd w:val="clear" w:color="auto" w:fill="auto"/>
          </w:tcPr>
          <w:p w14:paraId="2B7EC5A5" w14:textId="77777777" w:rsidR="00CC5F22" w:rsidRPr="00327ABF" w:rsidRDefault="00CC5F22" w:rsidP="005C51FA">
            <w:r w:rsidRPr="00327ABF">
              <w:t>Reasonable prospect of some (perhaps few only) acceptable quality of applicants for any vacancy advertised.</w:t>
            </w:r>
          </w:p>
        </w:tc>
        <w:tc>
          <w:tcPr>
            <w:tcW w:w="4109" w:type="dxa"/>
            <w:shd w:val="clear" w:color="auto" w:fill="auto"/>
          </w:tcPr>
          <w:p w14:paraId="39711D7A" w14:textId="77777777" w:rsidR="00CC5F22" w:rsidRPr="00327ABF" w:rsidRDefault="00CC5F22" w:rsidP="005C51FA">
            <w:r w:rsidRPr="00327ABF">
              <w:t xml:space="preserve">A post that due to market conditions may be relatively difficult to recruit into.  This may be due to the mix of skills required or the high value that the local </w:t>
            </w:r>
            <w:proofErr w:type="gramStart"/>
            <w:r w:rsidRPr="00327ABF">
              <w:t>market places</w:t>
            </w:r>
            <w:proofErr w:type="gramEnd"/>
            <w:r w:rsidRPr="00327ABF">
              <w:t xml:space="preserve"> on particular professional qualifications or experience.</w:t>
            </w:r>
          </w:p>
        </w:tc>
      </w:tr>
      <w:tr w:rsidR="00CC5F22" w:rsidRPr="00327ABF" w14:paraId="54935C7A" w14:textId="77777777" w:rsidTr="00DA3C2F">
        <w:tc>
          <w:tcPr>
            <w:tcW w:w="1418" w:type="dxa"/>
            <w:shd w:val="clear" w:color="auto" w:fill="auto"/>
          </w:tcPr>
          <w:p w14:paraId="5138C19A" w14:textId="77777777" w:rsidR="00CC5F22" w:rsidRPr="00327ABF" w:rsidRDefault="00CC5F22" w:rsidP="005C51FA">
            <w:r w:rsidRPr="00327ABF">
              <w:t>Resources</w:t>
            </w:r>
          </w:p>
        </w:tc>
        <w:tc>
          <w:tcPr>
            <w:tcW w:w="4678" w:type="dxa"/>
            <w:shd w:val="clear" w:color="auto" w:fill="auto"/>
          </w:tcPr>
          <w:p w14:paraId="096817AD" w14:textId="77777777" w:rsidR="00CC5F22" w:rsidRPr="00327ABF" w:rsidRDefault="00CC5F22" w:rsidP="005C51FA">
            <w:r w:rsidRPr="00327ABF">
              <w:t xml:space="preserve">There is scope for influence on the organisation’s employees, finance, assets in respect of the service area only.    </w:t>
            </w:r>
          </w:p>
        </w:tc>
        <w:tc>
          <w:tcPr>
            <w:tcW w:w="4537" w:type="dxa"/>
            <w:shd w:val="clear" w:color="auto" w:fill="auto"/>
          </w:tcPr>
          <w:p w14:paraId="7960FC72" w14:textId="77777777" w:rsidR="00CC5F22" w:rsidRPr="00327ABF" w:rsidRDefault="00CC5F22" w:rsidP="005C51FA">
            <w:r w:rsidRPr="00327ABF">
              <w:t xml:space="preserve">There is some scope for influence on the organisation’s employees, finance, assets.    </w:t>
            </w:r>
          </w:p>
        </w:tc>
        <w:tc>
          <w:tcPr>
            <w:tcW w:w="4109" w:type="dxa"/>
            <w:shd w:val="clear" w:color="auto" w:fill="auto"/>
          </w:tcPr>
          <w:p w14:paraId="18C18EE3" w14:textId="77777777" w:rsidR="00CC5F22" w:rsidRPr="00327ABF" w:rsidRDefault="00CC5F22" w:rsidP="005C51FA">
            <w:r w:rsidRPr="00327ABF">
              <w:t xml:space="preserve">There is considerable scope for influence on the organisation’s employees, finance, assets across the Council.    </w:t>
            </w:r>
          </w:p>
        </w:tc>
      </w:tr>
    </w:tbl>
    <w:p w14:paraId="344F8F22" w14:textId="77777777" w:rsidR="00DA3C2F" w:rsidRDefault="00DA3C2F" w:rsidP="00CC5F22">
      <w:pPr>
        <w:ind w:left="-993"/>
        <w:jc w:val="right"/>
        <w:sectPr w:rsidR="00DA3C2F" w:rsidSect="00DA3C2F">
          <w:pgSz w:w="15840" w:h="12240" w:orient="landscape" w:code="1"/>
          <w:pgMar w:top="567" w:right="567" w:bottom="284" w:left="567" w:header="289" w:footer="720" w:gutter="0"/>
          <w:cols w:space="720"/>
          <w:docGrid w:linePitch="326"/>
        </w:sectPr>
      </w:pPr>
    </w:p>
    <w:p w14:paraId="6B32EAE2" w14:textId="77777777" w:rsidR="00DA3C2F" w:rsidRDefault="00DA3C2F" w:rsidP="00CC5F22">
      <w:pPr>
        <w:ind w:left="-993"/>
        <w:jc w:val="right"/>
      </w:pPr>
    </w:p>
    <w:p w14:paraId="1B69D0A5" w14:textId="77777777" w:rsidR="00DA3C2F" w:rsidRDefault="00DA3C2F" w:rsidP="00DA3C2F">
      <w:pPr>
        <w:ind w:left="-993"/>
      </w:pPr>
    </w:p>
    <w:p w14:paraId="45761D30" w14:textId="77777777" w:rsidR="00DA3C2F" w:rsidRPr="00C02FE6" w:rsidRDefault="00DA3C2F" w:rsidP="00DA3C2F">
      <w:pPr>
        <w:rPr>
          <w:b/>
          <w:sz w:val="28"/>
          <w:szCs w:val="28"/>
        </w:rPr>
      </w:pPr>
      <w:r w:rsidRPr="00C02FE6">
        <w:rPr>
          <w:b/>
          <w:sz w:val="28"/>
          <w:szCs w:val="28"/>
        </w:rPr>
        <w:t>General Principles</w:t>
      </w:r>
    </w:p>
    <w:p w14:paraId="5F4A8CB5" w14:textId="77777777" w:rsidR="00DA3C2F" w:rsidRPr="00265579" w:rsidRDefault="00EA654F" w:rsidP="00DA3C2F">
      <w:r>
        <w:t>Head of Service</w:t>
      </w:r>
      <w:r w:rsidR="00DA3C2F" w:rsidRPr="00265579">
        <w:t xml:space="preserve"> posts have been placed into </w:t>
      </w:r>
      <w:r w:rsidR="00DA3C2F">
        <w:t xml:space="preserve">one of four </w:t>
      </w:r>
      <w:r w:rsidR="00DA3C2F" w:rsidRPr="00265579">
        <w:t>pay bands based on the</w:t>
      </w:r>
      <w:r w:rsidR="00DA3C2F">
        <w:t xml:space="preserve"> above conventions and the scoring model shown below. </w:t>
      </w:r>
      <w:r w:rsidR="00DA3C2F" w:rsidRPr="00265579">
        <w:t xml:space="preserve"> </w:t>
      </w:r>
      <w:r w:rsidR="00DA3C2F">
        <w:t xml:space="preserve">The following general guidelines are also proposed: </w:t>
      </w:r>
    </w:p>
    <w:p w14:paraId="4A04E687" w14:textId="77777777" w:rsidR="00DA3C2F" w:rsidRDefault="00DA3C2F" w:rsidP="00D32888">
      <w:pPr>
        <w:pStyle w:val="ListParagraph"/>
        <w:numPr>
          <w:ilvl w:val="0"/>
          <w:numId w:val="27"/>
        </w:numPr>
        <w:contextualSpacing/>
      </w:pPr>
      <w:r>
        <w:t xml:space="preserve">Each factor is scored in accordance with the table below and total scores determine the pay band to be applied to each </w:t>
      </w:r>
      <w:r w:rsidR="00EA654F">
        <w:t>Head of Service</w:t>
      </w:r>
      <w:r>
        <w:t xml:space="preserve"> post.</w:t>
      </w:r>
      <w:r w:rsidRPr="00265579">
        <w:t xml:space="preserve"> </w:t>
      </w:r>
    </w:p>
    <w:p w14:paraId="390C9CAA" w14:textId="77777777" w:rsidR="00DA3C2F" w:rsidRDefault="00DA3C2F" w:rsidP="00D32888">
      <w:pPr>
        <w:pStyle w:val="ListParagraph"/>
        <w:numPr>
          <w:ilvl w:val="0"/>
          <w:numId w:val="27"/>
        </w:numPr>
        <w:contextualSpacing/>
      </w:pPr>
      <w:r w:rsidRPr="00265579">
        <w:t>The determination of placing will be undertaken by SLT</w:t>
      </w:r>
      <w:r>
        <w:t>.</w:t>
      </w:r>
    </w:p>
    <w:p w14:paraId="33E2F482" w14:textId="77777777" w:rsidR="00DA3C2F" w:rsidRPr="00265579" w:rsidRDefault="00DA3C2F" w:rsidP="00D32888">
      <w:pPr>
        <w:pStyle w:val="ListParagraph"/>
        <w:numPr>
          <w:ilvl w:val="0"/>
          <w:numId w:val="27"/>
        </w:numPr>
        <w:contextualSpacing/>
      </w:pPr>
      <w:r w:rsidRPr="00265579">
        <w:t>Appeal against placing will be to the Chief Executive in consultation with an HR officer and a union representative.</w:t>
      </w:r>
      <w:r>
        <w:t xml:space="preserve"> The Chief Executive may agree that the banding of a post is reconsidered by SLT.</w:t>
      </w:r>
    </w:p>
    <w:p w14:paraId="24CAF565" w14:textId="77777777" w:rsidR="00DA3C2F" w:rsidRDefault="00DA3C2F" w:rsidP="00D32888">
      <w:pPr>
        <w:pStyle w:val="ListParagraph"/>
        <w:numPr>
          <w:ilvl w:val="0"/>
          <w:numId w:val="27"/>
        </w:numPr>
        <w:contextualSpacing/>
      </w:pPr>
      <w:r w:rsidRPr="00265579">
        <w:t xml:space="preserve">An Equality Impact Assessment will be </w:t>
      </w:r>
      <w:r>
        <w:t xml:space="preserve">maintained </w:t>
      </w:r>
      <w:r w:rsidRPr="00265579">
        <w:t xml:space="preserve">to ensure that grading is not </w:t>
      </w:r>
      <w:proofErr w:type="gramStart"/>
      <w:r w:rsidRPr="00265579">
        <w:t>gender-biased</w:t>
      </w:r>
      <w:proofErr w:type="gramEnd"/>
      <w:r w:rsidRPr="00265579">
        <w:t>.</w:t>
      </w:r>
      <w:r>
        <w:t xml:space="preserve">  This will be reviewed periodically. </w:t>
      </w:r>
    </w:p>
    <w:p w14:paraId="1934F930" w14:textId="77777777" w:rsidR="00DA3C2F" w:rsidRDefault="00DA3C2F" w:rsidP="00D32888">
      <w:pPr>
        <w:pStyle w:val="ListParagraph"/>
        <w:numPr>
          <w:ilvl w:val="0"/>
          <w:numId w:val="27"/>
        </w:numPr>
        <w:contextualSpacing/>
      </w:pPr>
      <w:r w:rsidRPr="00265579">
        <w:t xml:space="preserve">The assessment </w:t>
      </w:r>
      <w:r>
        <w:t xml:space="preserve">of job scores </w:t>
      </w:r>
      <w:r w:rsidRPr="00265579">
        <w:t xml:space="preserve">may be reviewed periodically at the request of </w:t>
      </w:r>
      <w:r>
        <w:t>an</w:t>
      </w:r>
      <w:r w:rsidRPr="00265579">
        <w:t xml:space="preserve"> employee or SLT particularly if a job changes or there is evidence that the market may treat the job differently to its initial assessment.</w:t>
      </w:r>
    </w:p>
    <w:p w14:paraId="20486395" w14:textId="77777777" w:rsidR="00DA3C2F" w:rsidRDefault="00DA3C2F" w:rsidP="00D32888">
      <w:pPr>
        <w:pStyle w:val="ListParagraph"/>
        <w:numPr>
          <w:ilvl w:val="0"/>
          <w:numId w:val="27"/>
        </w:numPr>
        <w:contextualSpacing/>
      </w:pPr>
      <w:r>
        <w:t>Pay Bands are based on the following scoring matrix:</w:t>
      </w:r>
    </w:p>
    <w:tbl>
      <w:tblPr>
        <w:tblW w:w="7560" w:type="dxa"/>
        <w:tblInd w:w="817" w:type="dxa"/>
        <w:tblLook w:val="04A0" w:firstRow="1" w:lastRow="0" w:firstColumn="1" w:lastColumn="0" w:noHBand="0" w:noVBand="1"/>
      </w:tblPr>
      <w:tblGrid>
        <w:gridCol w:w="1200"/>
        <w:gridCol w:w="1200"/>
        <w:gridCol w:w="1200"/>
        <w:gridCol w:w="1200"/>
        <w:gridCol w:w="2538"/>
        <w:gridCol w:w="222"/>
      </w:tblGrid>
      <w:tr w:rsidR="00DA3C2F" w:rsidRPr="00C02FE6" w14:paraId="10DF6357" w14:textId="77777777" w:rsidTr="005C51FA">
        <w:trPr>
          <w:trHeight w:val="315"/>
        </w:trPr>
        <w:tc>
          <w:tcPr>
            <w:tcW w:w="1200" w:type="dxa"/>
            <w:tcBorders>
              <w:top w:val="nil"/>
              <w:left w:val="nil"/>
              <w:bottom w:val="nil"/>
              <w:right w:val="nil"/>
            </w:tcBorders>
            <w:shd w:val="clear" w:color="auto" w:fill="auto"/>
            <w:noWrap/>
            <w:vAlign w:val="bottom"/>
            <w:hideMark/>
          </w:tcPr>
          <w:p w14:paraId="14210700" w14:textId="77777777" w:rsidR="00DA3C2F" w:rsidRPr="00C02FE6" w:rsidRDefault="00DA3C2F" w:rsidP="005C51FA">
            <w:pPr>
              <w:rPr>
                <w:rFonts w:cs="Arial"/>
                <w:bCs/>
                <w:color w:val="000000"/>
                <w:szCs w:val="24"/>
                <w:lang w:eastAsia="en-GB"/>
              </w:rPr>
            </w:pPr>
            <w:r w:rsidRPr="00C02FE6">
              <w:rPr>
                <w:rFonts w:cs="Arial"/>
                <w:bCs/>
                <w:color w:val="000000"/>
                <w:szCs w:val="24"/>
                <w:lang w:eastAsia="en-GB"/>
              </w:rPr>
              <w:t>Pay Band</w:t>
            </w:r>
          </w:p>
        </w:tc>
        <w:tc>
          <w:tcPr>
            <w:tcW w:w="3600" w:type="dxa"/>
            <w:gridSpan w:val="3"/>
            <w:tcBorders>
              <w:top w:val="nil"/>
              <w:left w:val="nil"/>
              <w:bottom w:val="nil"/>
              <w:right w:val="nil"/>
            </w:tcBorders>
            <w:shd w:val="clear" w:color="auto" w:fill="auto"/>
            <w:noWrap/>
            <w:vAlign w:val="bottom"/>
            <w:hideMark/>
          </w:tcPr>
          <w:p w14:paraId="5216437F" w14:textId="77777777" w:rsidR="00DA3C2F" w:rsidRPr="00C02FE6" w:rsidRDefault="00DA3C2F" w:rsidP="005C51FA">
            <w:pPr>
              <w:rPr>
                <w:rFonts w:cs="Arial"/>
                <w:bCs/>
                <w:color w:val="000000"/>
                <w:szCs w:val="24"/>
                <w:lang w:eastAsia="en-GB"/>
              </w:rPr>
            </w:pPr>
            <w:r w:rsidRPr="00C02FE6">
              <w:rPr>
                <w:rFonts w:cs="Arial"/>
                <w:bCs/>
                <w:color w:val="000000"/>
                <w:szCs w:val="24"/>
                <w:lang w:eastAsia="en-GB"/>
              </w:rPr>
              <w:t>% of Directors maximum pay</w:t>
            </w:r>
          </w:p>
        </w:tc>
        <w:tc>
          <w:tcPr>
            <w:tcW w:w="2760" w:type="dxa"/>
            <w:gridSpan w:val="2"/>
            <w:tcBorders>
              <w:top w:val="nil"/>
              <w:left w:val="nil"/>
              <w:bottom w:val="nil"/>
              <w:right w:val="nil"/>
            </w:tcBorders>
            <w:shd w:val="clear" w:color="auto" w:fill="auto"/>
            <w:noWrap/>
            <w:vAlign w:val="bottom"/>
            <w:hideMark/>
          </w:tcPr>
          <w:p w14:paraId="3B283754" w14:textId="77777777" w:rsidR="00DA3C2F" w:rsidRPr="00C02FE6" w:rsidRDefault="00DA3C2F" w:rsidP="005C51FA">
            <w:pPr>
              <w:rPr>
                <w:rFonts w:cs="Arial"/>
                <w:bCs/>
                <w:color w:val="000000"/>
                <w:szCs w:val="24"/>
                <w:lang w:eastAsia="en-GB"/>
              </w:rPr>
            </w:pPr>
            <w:r w:rsidRPr="00C02FE6">
              <w:rPr>
                <w:rFonts w:cs="Arial"/>
                <w:bCs/>
                <w:color w:val="000000"/>
                <w:szCs w:val="24"/>
                <w:lang w:eastAsia="en-GB"/>
              </w:rPr>
              <w:t>Evaluated points total</w:t>
            </w:r>
          </w:p>
        </w:tc>
      </w:tr>
      <w:tr w:rsidR="00DA3C2F" w:rsidRPr="00C02FE6" w14:paraId="0F57CA1A" w14:textId="77777777" w:rsidTr="005C51FA">
        <w:trPr>
          <w:trHeight w:val="315"/>
        </w:trPr>
        <w:tc>
          <w:tcPr>
            <w:tcW w:w="1200" w:type="dxa"/>
            <w:tcBorders>
              <w:top w:val="nil"/>
              <w:left w:val="nil"/>
              <w:bottom w:val="nil"/>
              <w:right w:val="nil"/>
            </w:tcBorders>
            <w:shd w:val="clear" w:color="auto" w:fill="auto"/>
            <w:noWrap/>
            <w:vAlign w:val="bottom"/>
            <w:hideMark/>
          </w:tcPr>
          <w:p w14:paraId="64F2C191" w14:textId="77777777" w:rsidR="00DA3C2F" w:rsidRPr="00C02FE6" w:rsidRDefault="00DA3C2F" w:rsidP="005C51FA">
            <w:pPr>
              <w:rPr>
                <w:rFonts w:cs="Arial"/>
                <w:bCs/>
                <w:color w:val="000000"/>
                <w:szCs w:val="24"/>
                <w:lang w:eastAsia="en-GB"/>
              </w:rPr>
            </w:pPr>
          </w:p>
        </w:tc>
        <w:tc>
          <w:tcPr>
            <w:tcW w:w="1200" w:type="dxa"/>
            <w:tcBorders>
              <w:top w:val="nil"/>
              <w:left w:val="nil"/>
              <w:bottom w:val="nil"/>
              <w:right w:val="nil"/>
            </w:tcBorders>
            <w:shd w:val="clear" w:color="auto" w:fill="auto"/>
            <w:noWrap/>
            <w:vAlign w:val="bottom"/>
            <w:hideMark/>
          </w:tcPr>
          <w:p w14:paraId="4FF8C405" w14:textId="77777777" w:rsidR="00DA3C2F" w:rsidRPr="00C02FE6" w:rsidRDefault="00DA3C2F" w:rsidP="005C51FA">
            <w:pPr>
              <w:rPr>
                <w:rFonts w:cs="Arial"/>
                <w:bCs/>
                <w:color w:val="000000"/>
                <w:szCs w:val="24"/>
                <w:lang w:eastAsia="en-GB"/>
              </w:rPr>
            </w:pPr>
          </w:p>
        </w:tc>
        <w:tc>
          <w:tcPr>
            <w:tcW w:w="1200" w:type="dxa"/>
            <w:tcBorders>
              <w:top w:val="nil"/>
              <w:left w:val="nil"/>
              <w:bottom w:val="nil"/>
              <w:right w:val="nil"/>
            </w:tcBorders>
            <w:shd w:val="clear" w:color="auto" w:fill="auto"/>
            <w:noWrap/>
            <w:vAlign w:val="bottom"/>
            <w:hideMark/>
          </w:tcPr>
          <w:p w14:paraId="1584E6AF" w14:textId="77777777" w:rsidR="00DA3C2F" w:rsidRPr="00C02FE6" w:rsidRDefault="00DA3C2F" w:rsidP="005C51FA">
            <w:pPr>
              <w:rPr>
                <w:rFonts w:cs="Arial"/>
                <w:bCs/>
                <w:color w:val="000000"/>
                <w:szCs w:val="24"/>
                <w:lang w:eastAsia="en-GB"/>
              </w:rPr>
            </w:pPr>
          </w:p>
        </w:tc>
        <w:tc>
          <w:tcPr>
            <w:tcW w:w="1200" w:type="dxa"/>
            <w:tcBorders>
              <w:top w:val="nil"/>
              <w:left w:val="nil"/>
              <w:bottom w:val="nil"/>
              <w:right w:val="nil"/>
            </w:tcBorders>
            <w:shd w:val="clear" w:color="auto" w:fill="auto"/>
            <w:noWrap/>
            <w:vAlign w:val="bottom"/>
            <w:hideMark/>
          </w:tcPr>
          <w:p w14:paraId="26928C83" w14:textId="77777777" w:rsidR="00DA3C2F" w:rsidRPr="00C02FE6" w:rsidRDefault="00DA3C2F" w:rsidP="005C51FA">
            <w:pPr>
              <w:jc w:val="center"/>
              <w:rPr>
                <w:rFonts w:cs="Arial"/>
                <w:bCs/>
                <w:color w:val="000000"/>
                <w:szCs w:val="24"/>
                <w:lang w:eastAsia="en-GB"/>
              </w:rPr>
            </w:pPr>
          </w:p>
        </w:tc>
        <w:tc>
          <w:tcPr>
            <w:tcW w:w="2538" w:type="dxa"/>
            <w:tcBorders>
              <w:top w:val="nil"/>
              <w:left w:val="nil"/>
              <w:bottom w:val="nil"/>
              <w:right w:val="nil"/>
            </w:tcBorders>
            <w:shd w:val="clear" w:color="auto" w:fill="auto"/>
            <w:noWrap/>
            <w:vAlign w:val="bottom"/>
            <w:hideMark/>
          </w:tcPr>
          <w:p w14:paraId="5F253543" w14:textId="77777777" w:rsidR="00DA3C2F" w:rsidRPr="00C02FE6" w:rsidRDefault="00DA3C2F" w:rsidP="005C51FA">
            <w:pPr>
              <w:jc w:val="center"/>
              <w:rPr>
                <w:rFonts w:cs="Arial"/>
                <w:bCs/>
                <w:color w:val="000000"/>
                <w:szCs w:val="24"/>
                <w:lang w:eastAsia="en-GB"/>
              </w:rPr>
            </w:pPr>
          </w:p>
        </w:tc>
        <w:tc>
          <w:tcPr>
            <w:tcW w:w="222" w:type="dxa"/>
            <w:tcBorders>
              <w:top w:val="nil"/>
              <w:left w:val="nil"/>
              <w:bottom w:val="nil"/>
              <w:right w:val="nil"/>
            </w:tcBorders>
            <w:shd w:val="clear" w:color="auto" w:fill="auto"/>
            <w:noWrap/>
            <w:vAlign w:val="bottom"/>
            <w:hideMark/>
          </w:tcPr>
          <w:p w14:paraId="3179239B" w14:textId="77777777" w:rsidR="00DA3C2F" w:rsidRPr="00C02FE6" w:rsidRDefault="00DA3C2F" w:rsidP="005C51FA">
            <w:pPr>
              <w:jc w:val="center"/>
              <w:rPr>
                <w:rFonts w:cs="Arial"/>
                <w:bCs/>
                <w:color w:val="000000"/>
                <w:szCs w:val="24"/>
                <w:lang w:eastAsia="en-GB"/>
              </w:rPr>
            </w:pPr>
          </w:p>
        </w:tc>
      </w:tr>
      <w:tr w:rsidR="00DA3C2F" w:rsidRPr="00C02FE6" w14:paraId="749D1093" w14:textId="77777777" w:rsidTr="005C51FA">
        <w:trPr>
          <w:trHeight w:val="315"/>
        </w:trPr>
        <w:tc>
          <w:tcPr>
            <w:tcW w:w="1200" w:type="dxa"/>
            <w:tcBorders>
              <w:top w:val="nil"/>
              <w:left w:val="nil"/>
              <w:bottom w:val="nil"/>
              <w:right w:val="nil"/>
            </w:tcBorders>
            <w:shd w:val="clear" w:color="auto" w:fill="auto"/>
            <w:noWrap/>
            <w:vAlign w:val="bottom"/>
            <w:hideMark/>
          </w:tcPr>
          <w:p w14:paraId="35F1044A" w14:textId="77777777" w:rsidR="00DA3C2F" w:rsidRPr="00C02FE6" w:rsidRDefault="00DA3C2F" w:rsidP="005C51FA">
            <w:pPr>
              <w:rPr>
                <w:rFonts w:cs="Arial"/>
                <w:bCs/>
                <w:color w:val="000000"/>
                <w:szCs w:val="24"/>
                <w:lang w:eastAsia="en-GB"/>
              </w:rPr>
            </w:pPr>
            <w:r w:rsidRPr="00C02FE6">
              <w:rPr>
                <w:rFonts w:cs="Arial"/>
                <w:bCs/>
                <w:color w:val="000000"/>
                <w:szCs w:val="24"/>
                <w:lang w:eastAsia="en-GB"/>
              </w:rPr>
              <w:t>Band 1</w:t>
            </w:r>
          </w:p>
        </w:tc>
        <w:tc>
          <w:tcPr>
            <w:tcW w:w="2400" w:type="dxa"/>
            <w:gridSpan w:val="2"/>
            <w:tcBorders>
              <w:top w:val="nil"/>
              <w:left w:val="nil"/>
              <w:bottom w:val="nil"/>
              <w:right w:val="nil"/>
            </w:tcBorders>
            <w:shd w:val="clear" w:color="auto" w:fill="auto"/>
            <w:noWrap/>
            <w:vAlign w:val="bottom"/>
            <w:hideMark/>
          </w:tcPr>
          <w:p w14:paraId="7A3E513D" w14:textId="77777777" w:rsidR="00DA3C2F" w:rsidRPr="00C02FE6" w:rsidRDefault="00DA3C2F" w:rsidP="005C51FA">
            <w:pPr>
              <w:jc w:val="center"/>
              <w:rPr>
                <w:rFonts w:cs="Arial"/>
                <w:bCs/>
                <w:color w:val="000000"/>
                <w:szCs w:val="24"/>
                <w:lang w:eastAsia="en-GB"/>
              </w:rPr>
            </w:pPr>
            <w:r w:rsidRPr="00C02FE6">
              <w:rPr>
                <w:rFonts w:cs="Arial"/>
                <w:bCs/>
                <w:color w:val="000000"/>
                <w:szCs w:val="24"/>
                <w:lang w:eastAsia="en-GB"/>
              </w:rPr>
              <w:t>55-60%</w:t>
            </w:r>
          </w:p>
        </w:tc>
        <w:tc>
          <w:tcPr>
            <w:tcW w:w="1200" w:type="dxa"/>
            <w:tcBorders>
              <w:top w:val="nil"/>
              <w:left w:val="nil"/>
              <w:bottom w:val="nil"/>
              <w:right w:val="nil"/>
            </w:tcBorders>
            <w:shd w:val="clear" w:color="auto" w:fill="auto"/>
            <w:noWrap/>
            <w:vAlign w:val="bottom"/>
            <w:hideMark/>
          </w:tcPr>
          <w:p w14:paraId="43BF8081" w14:textId="77777777" w:rsidR="00DA3C2F" w:rsidRPr="00C02FE6" w:rsidRDefault="00DA3C2F" w:rsidP="005C51FA">
            <w:pPr>
              <w:rPr>
                <w:rFonts w:cs="Arial"/>
                <w:bCs/>
                <w:color w:val="000000"/>
                <w:szCs w:val="24"/>
                <w:lang w:eastAsia="en-GB"/>
              </w:rPr>
            </w:pPr>
          </w:p>
        </w:tc>
        <w:tc>
          <w:tcPr>
            <w:tcW w:w="2538" w:type="dxa"/>
            <w:tcBorders>
              <w:top w:val="nil"/>
              <w:left w:val="nil"/>
              <w:bottom w:val="nil"/>
              <w:right w:val="nil"/>
            </w:tcBorders>
            <w:shd w:val="clear" w:color="auto" w:fill="auto"/>
            <w:noWrap/>
            <w:vAlign w:val="bottom"/>
            <w:hideMark/>
          </w:tcPr>
          <w:p w14:paraId="24B1ABB5" w14:textId="77777777" w:rsidR="00DA3C2F" w:rsidRPr="00C02FE6" w:rsidRDefault="00DA3C2F" w:rsidP="005C51FA">
            <w:pPr>
              <w:rPr>
                <w:rFonts w:cs="Arial"/>
                <w:bCs/>
                <w:color w:val="000000"/>
                <w:szCs w:val="24"/>
                <w:lang w:eastAsia="en-GB"/>
              </w:rPr>
            </w:pPr>
            <w:r w:rsidRPr="00C02FE6">
              <w:rPr>
                <w:rFonts w:cs="Arial"/>
                <w:bCs/>
                <w:color w:val="000000"/>
                <w:szCs w:val="24"/>
                <w:lang w:eastAsia="en-GB"/>
              </w:rPr>
              <w:t>5-7</w:t>
            </w:r>
          </w:p>
        </w:tc>
        <w:tc>
          <w:tcPr>
            <w:tcW w:w="222" w:type="dxa"/>
            <w:tcBorders>
              <w:top w:val="nil"/>
              <w:left w:val="nil"/>
              <w:bottom w:val="nil"/>
              <w:right w:val="nil"/>
            </w:tcBorders>
            <w:shd w:val="clear" w:color="auto" w:fill="auto"/>
            <w:noWrap/>
            <w:vAlign w:val="bottom"/>
            <w:hideMark/>
          </w:tcPr>
          <w:p w14:paraId="4F15063C" w14:textId="77777777" w:rsidR="00DA3C2F" w:rsidRPr="00C02FE6" w:rsidRDefault="00DA3C2F" w:rsidP="005C51FA">
            <w:pPr>
              <w:jc w:val="center"/>
              <w:rPr>
                <w:rFonts w:cs="Arial"/>
                <w:bCs/>
                <w:color w:val="000000"/>
                <w:szCs w:val="24"/>
                <w:lang w:eastAsia="en-GB"/>
              </w:rPr>
            </w:pPr>
          </w:p>
        </w:tc>
      </w:tr>
      <w:tr w:rsidR="00DA3C2F" w:rsidRPr="00C02FE6" w14:paraId="27447B96" w14:textId="77777777" w:rsidTr="005C51FA">
        <w:trPr>
          <w:trHeight w:val="315"/>
        </w:trPr>
        <w:tc>
          <w:tcPr>
            <w:tcW w:w="1200" w:type="dxa"/>
            <w:tcBorders>
              <w:top w:val="nil"/>
              <w:left w:val="nil"/>
              <w:bottom w:val="nil"/>
              <w:right w:val="nil"/>
            </w:tcBorders>
            <w:shd w:val="clear" w:color="auto" w:fill="auto"/>
            <w:noWrap/>
            <w:vAlign w:val="bottom"/>
            <w:hideMark/>
          </w:tcPr>
          <w:p w14:paraId="4891BD01" w14:textId="77777777" w:rsidR="00DA3C2F" w:rsidRPr="00C02FE6" w:rsidRDefault="00DA3C2F" w:rsidP="005C51FA">
            <w:pPr>
              <w:rPr>
                <w:rFonts w:cs="Arial"/>
                <w:bCs/>
                <w:color w:val="000000"/>
                <w:szCs w:val="24"/>
                <w:lang w:eastAsia="en-GB"/>
              </w:rPr>
            </w:pPr>
            <w:r w:rsidRPr="00C02FE6">
              <w:rPr>
                <w:rFonts w:cs="Arial"/>
                <w:bCs/>
                <w:color w:val="000000"/>
                <w:szCs w:val="24"/>
                <w:lang w:eastAsia="en-GB"/>
              </w:rPr>
              <w:t>Band 2</w:t>
            </w:r>
          </w:p>
        </w:tc>
        <w:tc>
          <w:tcPr>
            <w:tcW w:w="2400" w:type="dxa"/>
            <w:gridSpan w:val="2"/>
            <w:tcBorders>
              <w:top w:val="nil"/>
              <w:left w:val="nil"/>
              <w:bottom w:val="nil"/>
              <w:right w:val="nil"/>
            </w:tcBorders>
            <w:shd w:val="clear" w:color="auto" w:fill="auto"/>
            <w:noWrap/>
            <w:vAlign w:val="bottom"/>
            <w:hideMark/>
          </w:tcPr>
          <w:p w14:paraId="1A0CB4E5" w14:textId="77777777" w:rsidR="00DA3C2F" w:rsidRPr="00C02FE6" w:rsidRDefault="00DA3C2F" w:rsidP="005C51FA">
            <w:pPr>
              <w:jc w:val="center"/>
              <w:rPr>
                <w:rFonts w:cs="Arial"/>
                <w:bCs/>
                <w:color w:val="000000"/>
                <w:szCs w:val="24"/>
                <w:lang w:eastAsia="en-GB"/>
              </w:rPr>
            </w:pPr>
            <w:r w:rsidRPr="00C02FE6">
              <w:rPr>
                <w:rFonts w:cs="Arial"/>
                <w:bCs/>
                <w:color w:val="000000"/>
                <w:szCs w:val="24"/>
                <w:lang w:eastAsia="en-GB"/>
              </w:rPr>
              <w:t>60-65%</w:t>
            </w:r>
          </w:p>
        </w:tc>
        <w:tc>
          <w:tcPr>
            <w:tcW w:w="1200" w:type="dxa"/>
            <w:tcBorders>
              <w:top w:val="nil"/>
              <w:left w:val="nil"/>
              <w:bottom w:val="nil"/>
              <w:right w:val="nil"/>
            </w:tcBorders>
            <w:shd w:val="clear" w:color="auto" w:fill="auto"/>
            <w:noWrap/>
            <w:vAlign w:val="bottom"/>
            <w:hideMark/>
          </w:tcPr>
          <w:p w14:paraId="74846D62" w14:textId="77777777" w:rsidR="00DA3C2F" w:rsidRPr="00C02FE6" w:rsidRDefault="00DA3C2F" w:rsidP="005C51FA">
            <w:pPr>
              <w:jc w:val="center"/>
              <w:rPr>
                <w:rFonts w:cs="Arial"/>
                <w:bCs/>
                <w:color w:val="000000"/>
                <w:szCs w:val="24"/>
                <w:lang w:eastAsia="en-GB"/>
              </w:rPr>
            </w:pPr>
          </w:p>
        </w:tc>
        <w:tc>
          <w:tcPr>
            <w:tcW w:w="2538" w:type="dxa"/>
            <w:tcBorders>
              <w:top w:val="nil"/>
              <w:left w:val="nil"/>
              <w:bottom w:val="nil"/>
              <w:right w:val="nil"/>
            </w:tcBorders>
            <w:shd w:val="clear" w:color="auto" w:fill="auto"/>
            <w:noWrap/>
            <w:vAlign w:val="bottom"/>
            <w:hideMark/>
          </w:tcPr>
          <w:p w14:paraId="176551A6" w14:textId="77777777" w:rsidR="00DA3C2F" w:rsidRPr="00C02FE6" w:rsidRDefault="00DA3C2F" w:rsidP="005C51FA">
            <w:pPr>
              <w:rPr>
                <w:rFonts w:cs="Arial"/>
                <w:bCs/>
                <w:color w:val="000000"/>
                <w:szCs w:val="24"/>
                <w:lang w:eastAsia="en-GB"/>
              </w:rPr>
            </w:pPr>
            <w:r w:rsidRPr="00C02FE6">
              <w:rPr>
                <w:rFonts w:cs="Arial"/>
                <w:bCs/>
                <w:color w:val="000000"/>
                <w:szCs w:val="24"/>
                <w:lang w:eastAsia="en-GB"/>
              </w:rPr>
              <w:t>8-10</w:t>
            </w:r>
          </w:p>
        </w:tc>
        <w:tc>
          <w:tcPr>
            <w:tcW w:w="222" w:type="dxa"/>
            <w:tcBorders>
              <w:top w:val="nil"/>
              <w:left w:val="nil"/>
              <w:bottom w:val="nil"/>
              <w:right w:val="nil"/>
            </w:tcBorders>
            <w:shd w:val="clear" w:color="auto" w:fill="auto"/>
            <w:noWrap/>
            <w:vAlign w:val="bottom"/>
            <w:hideMark/>
          </w:tcPr>
          <w:p w14:paraId="24FA0953" w14:textId="77777777" w:rsidR="00DA3C2F" w:rsidRPr="00C02FE6" w:rsidRDefault="00DA3C2F" w:rsidP="005C51FA">
            <w:pPr>
              <w:jc w:val="center"/>
              <w:rPr>
                <w:rFonts w:cs="Arial"/>
                <w:bCs/>
                <w:color w:val="000000"/>
                <w:szCs w:val="24"/>
                <w:lang w:eastAsia="en-GB"/>
              </w:rPr>
            </w:pPr>
          </w:p>
        </w:tc>
      </w:tr>
      <w:tr w:rsidR="00DA3C2F" w:rsidRPr="00C02FE6" w14:paraId="61AAF70B" w14:textId="77777777" w:rsidTr="005C51FA">
        <w:trPr>
          <w:trHeight w:val="315"/>
        </w:trPr>
        <w:tc>
          <w:tcPr>
            <w:tcW w:w="1200" w:type="dxa"/>
            <w:tcBorders>
              <w:top w:val="nil"/>
              <w:left w:val="nil"/>
              <w:bottom w:val="nil"/>
              <w:right w:val="nil"/>
            </w:tcBorders>
            <w:shd w:val="clear" w:color="auto" w:fill="auto"/>
            <w:noWrap/>
            <w:vAlign w:val="bottom"/>
            <w:hideMark/>
          </w:tcPr>
          <w:p w14:paraId="0945F972" w14:textId="77777777" w:rsidR="00DA3C2F" w:rsidRPr="00C02FE6" w:rsidRDefault="00DA3C2F" w:rsidP="005C51FA">
            <w:pPr>
              <w:rPr>
                <w:rFonts w:cs="Arial"/>
                <w:bCs/>
                <w:color w:val="000000"/>
                <w:szCs w:val="24"/>
                <w:lang w:eastAsia="en-GB"/>
              </w:rPr>
            </w:pPr>
            <w:r w:rsidRPr="00C02FE6">
              <w:rPr>
                <w:rFonts w:cs="Arial"/>
                <w:bCs/>
                <w:color w:val="000000"/>
                <w:szCs w:val="24"/>
                <w:lang w:eastAsia="en-GB"/>
              </w:rPr>
              <w:t>Band 3</w:t>
            </w:r>
          </w:p>
        </w:tc>
        <w:tc>
          <w:tcPr>
            <w:tcW w:w="2400" w:type="dxa"/>
            <w:gridSpan w:val="2"/>
            <w:tcBorders>
              <w:top w:val="nil"/>
              <w:left w:val="nil"/>
              <w:bottom w:val="nil"/>
              <w:right w:val="nil"/>
            </w:tcBorders>
            <w:shd w:val="clear" w:color="auto" w:fill="auto"/>
            <w:noWrap/>
            <w:vAlign w:val="bottom"/>
            <w:hideMark/>
          </w:tcPr>
          <w:p w14:paraId="5C7F369F" w14:textId="77777777" w:rsidR="00DA3C2F" w:rsidRPr="00C02FE6" w:rsidRDefault="00DA3C2F" w:rsidP="005C51FA">
            <w:pPr>
              <w:jc w:val="center"/>
              <w:rPr>
                <w:rFonts w:cs="Arial"/>
                <w:bCs/>
                <w:color w:val="000000"/>
                <w:szCs w:val="24"/>
                <w:lang w:eastAsia="en-GB"/>
              </w:rPr>
            </w:pPr>
            <w:r w:rsidRPr="00C02FE6">
              <w:rPr>
                <w:rFonts w:cs="Arial"/>
                <w:bCs/>
                <w:color w:val="000000"/>
                <w:szCs w:val="24"/>
                <w:lang w:eastAsia="en-GB"/>
              </w:rPr>
              <w:t>70-75%</w:t>
            </w:r>
          </w:p>
        </w:tc>
        <w:tc>
          <w:tcPr>
            <w:tcW w:w="1200" w:type="dxa"/>
            <w:tcBorders>
              <w:top w:val="nil"/>
              <w:left w:val="nil"/>
              <w:bottom w:val="nil"/>
              <w:right w:val="nil"/>
            </w:tcBorders>
            <w:shd w:val="clear" w:color="auto" w:fill="auto"/>
            <w:noWrap/>
            <w:vAlign w:val="bottom"/>
            <w:hideMark/>
          </w:tcPr>
          <w:p w14:paraId="175F520C" w14:textId="77777777" w:rsidR="00DA3C2F" w:rsidRPr="00C02FE6" w:rsidRDefault="00DA3C2F" w:rsidP="005C51FA">
            <w:pPr>
              <w:rPr>
                <w:rFonts w:cs="Arial"/>
                <w:bCs/>
                <w:color w:val="000000"/>
                <w:szCs w:val="24"/>
                <w:lang w:eastAsia="en-GB"/>
              </w:rPr>
            </w:pPr>
          </w:p>
        </w:tc>
        <w:tc>
          <w:tcPr>
            <w:tcW w:w="2538" w:type="dxa"/>
            <w:tcBorders>
              <w:top w:val="nil"/>
              <w:left w:val="nil"/>
              <w:bottom w:val="nil"/>
              <w:right w:val="nil"/>
            </w:tcBorders>
            <w:shd w:val="clear" w:color="auto" w:fill="auto"/>
            <w:noWrap/>
            <w:vAlign w:val="bottom"/>
            <w:hideMark/>
          </w:tcPr>
          <w:p w14:paraId="3EDB597F" w14:textId="77777777" w:rsidR="00DA3C2F" w:rsidRPr="00C02FE6" w:rsidRDefault="00DA3C2F" w:rsidP="005C51FA">
            <w:pPr>
              <w:rPr>
                <w:rFonts w:cs="Arial"/>
                <w:bCs/>
                <w:color w:val="000000"/>
                <w:szCs w:val="24"/>
                <w:lang w:eastAsia="en-GB"/>
              </w:rPr>
            </w:pPr>
            <w:r w:rsidRPr="00C02FE6">
              <w:rPr>
                <w:rFonts w:cs="Arial"/>
                <w:bCs/>
                <w:color w:val="000000"/>
                <w:szCs w:val="24"/>
                <w:lang w:eastAsia="en-GB"/>
              </w:rPr>
              <w:t>11-13</w:t>
            </w:r>
          </w:p>
        </w:tc>
        <w:tc>
          <w:tcPr>
            <w:tcW w:w="222" w:type="dxa"/>
            <w:tcBorders>
              <w:top w:val="nil"/>
              <w:left w:val="nil"/>
              <w:bottom w:val="nil"/>
              <w:right w:val="nil"/>
            </w:tcBorders>
            <w:shd w:val="clear" w:color="auto" w:fill="auto"/>
            <w:noWrap/>
            <w:vAlign w:val="bottom"/>
            <w:hideMark/>
          </w:tcPr>
          <w:p w14:paraId="00052D64" w14:textId="77777777" w:rsidR="00DA3C2F" w:rsidRPr="00C02FE6" w:rsidRDefault="00DA3C2F" w:rsidP="005C51FA">
            <w:pPr>
              <w:rPr>
                <w:rFonts w:cs="Arial"/>
                <w:bCs/>
                <w:color w:val="000000"/>
                <w:szCs w:val="24"/>
                <w:lang w:eastAsia="en-GB"/>
              </w:rPr>
            </w:pPr>
          </w:p>
        </w:tc>
      </w:tr>
      <w:tr w:rsidR="00DA3C2F" w:rsidRPr="00C02FE6" w14:paraId="43065339" w14:textId="77777777" w:rsidTr="005C51FA">
        <w:trPr>
          <w:trHeight w:val="315"/>
        </w:trPr>
        <w:tc>
          <w:tcPr>
            <w:tcW w:w="1200" w:type="dxa"/>
            <w:tcBorders>
              <w:top w:val="nil"/>
              <w:left w:val="nil"/>
              <w:bottom w:val="nil"/>
              <w:right w:val="nil"/>
            </w:tcBorders>
            <w:shd w:val="clear" w:color="auto" w:fill="auto"/>
            <w:noWrap/>
            <w:vAlign w:val="bottom"/>
            <w:hideMark/>
          </w:tcPr>
          <w:p w14:paraId="76D45728" w14:textId="77777777" w:rsidR="00DA3C2F" w:rsidRPr="00C02FE6" w:rsidRDefault="00DA3C2F" w:rsidP="005C51FA">
            <w:pPr>
              <w:rPr>
                <w:rFonts w:cs="Arial"/>
                <w:bCs/>
                <w:color w:val="000000"/>
                <w:szCs w:val="24"/>
                <w:lang w:eastAsia="en-GB"/>
              </w:rPr>
            </w:pPr>
            <w:r w:rsidRPr="00C02FE6">
              <w:rPr>
                <w:rFonts w:cs="Arial"/>
                <w:bCs/>
                <w:color w:val="000000"/>
                <w:szCs w:val="24"/>
                <w:lang w:eastAsia="en-GB"/>
              </w:rPr>
              <w:t>Band 4</w:t>
            </w:r>
          </w:p>
        </w:tc>
        <w:tc>
          <w:tcPr>
            <w:tcW w:w="2400" w:type="dxa"/>
            <w:gridSpan w:val="2"/>
            <w:tcBorders>
              <w:top w:val="nil"/>
              <w:left w:val="nil"/>
              <w:bottom w:val="nil"/>
              <w:right w:val="nil"/>
            </w:tcBorders>
            <w:shd w:val="clear" w:color="auto" w:fill="auto"/>
            <w:noWrap/>
            <w:vAlign w:val="bottom"/>
            <w:hideMark/>
          </w:tcPr>
          <w:p w14:paraId="4B209264" w14:textId="77777777" w:rsidR="00DA3C2F" w:rsidRPr="00C02FE6" w:rsidRDefault="00DA3C2F" w:rsidP="005C51FA">
            <w:pPr>
              <w:jc w:val="center"/>
              <w:rPr>
                <w:rFonts w:cs="Arial"/>
                <w:bCs/>
                <w:color w:val="000000"/>
                <w:szCs w:val="24"/>
                <w:lang w:eastAsia="en-GB"/>
              </w:rPr>
            </w:pPr>
            <w:r w:rsidRPr="00C02FE6">
              <w:rPr>
                <w:rFonts w:cs="Arial"/>
                <w:bCs/>
                <w:color w:val="000000"/>
                <w:szCs w:val="24"/>
                <w:lang w:eastAsia="en-GB"/>
              </w:rPr>
              <w:t>80-85%</w:t>
            </w:r>
          </w:p>
        </w:tc>
        <w:tc>
          <w:tcPr>
            <w:tcW w:w="1200" w:type="dxa"/>
            <w:tcBorders>
              <w:top w:val="nil"/>
              <w:left w:val="nil"/>
              <w:bottom w:val="nil"/>
              <w:right w:val="nil"/>
            </w:tcBorders>
            <w:shd w:val="clear" w:color="auto" w:fill="auto"/>
            <w:noWrap/>
            <w:vAlign w:val="bottom"/>
            <w:hideMark/>
          </w:tcPr>
          <w:p w14:paraId="3B9CDFB8" w14:textId="77777777" w:rsidR="00DA3C2F" w:rsidRPr="00C02FE6" w:rsidRDefault="00DA3C2F" w:rsidP="005C51FA">
            <w:pPr>
              <w:rPr>
                <w:rFonts w:cs="Arial"/>
                <w:bCs/>
                <w:color w:val="000000"/>
                <w:szCs w:val="24"/>
                <w:lang w:eastAsia="en-GB"/>
              </w:rPr>
            </w:pPr>
          </w:p>
        </w:tc>
        <w:tc>
          <w:tcPr>
            <w:tcW w:w="2538" w:type="dxa"/>
            <w:tcBorders>
              <w:top w:val="nil"/>
              <w:left w:val="nil"/>
              <w:bottom w:val="nil"/>
              <w:right w:val="nil"/>
            </w:tcBorders>
            <w:shd w:val="clear" w:color="auto" w:fill="auto"/>
            <w:noWrap/>
            <w:vAlign w:val="bottom"/>
            <w:hideMark/>
          </w:tcPr>
          <w:p w14:paraId="0C3F6413" w14:textId="77777777" w:rsidR="00DA3C2F" w:rsidRPr="00C02FE6" w:rsidRDefault="00DA3C2F" w:rsidP="005C51FA">
            <w:pPr>
              <w:rPr>
                <w:rFonts w:cs="Arial"/>
                <w:bCs/>
                <w:color w:val="000000"/>
                <w:szCs w:val="24"/>
                <w:lang w:eastAsia="en-GB"/>
              </w:rPr>
            </w:pPr>
            <w:r w:rsidRPr="00C02FE6">
              <w:rPr>
                <w:rFonts w:cs="Arial"/>
                <w:bCs/>
                <w:color w:val="000000"/>
                <w:szCs w:val="24"/>
                <w:lang w:eastAsia="en-GB"/>
              </w:rPr>
              <w:t>14-15</w:t>
            </w:r>
          </w:p>
        </w:tc>
        <w:tc>
          <w:tcPr>
            <w:tcW w:w="222" w:type="dxa"/>
            <w:tcBorders>
              <w:top w:val="nil"/>
              <w:left w:val="nil"/>
              <w:bottom w:val="nil"/>
              <w:right w:val="nil"/>
            </w:tcBorders>
            <w:shd w:val="clear" w:color="auto" w:fill="auto"/>
            <w:noWrap/>
            <w:vAlign w:val="bottom"/>
            <w:hideMark/>
          </w:tcPr>
          <w:p w14:paraId="76EED24A" w14:textId="77777777" w:rsidR="00DA3C2F" w:rsidRPr="00C02FE6" w:rsidRDefault="00DA3C2F" w:rsidP="005C51FA">
            <w:pPr>
              <w:rPr>
                <w:rFonts w:cs="Arial"/>
                <w:bCs/>
                <w:color w:val="000000"/>
                <w:szCs w:val="24"/>
                <w:lang w:eastAsia="en-GB"/>
              </w:rPr>
            </w:pPr>
          </w:p>
        </w:tc>
      </w:tr>
    </w:tbl>
    <w:p w14:paraId="64B392BD" w14:textId="77777777" w:rsidR="00DA3C2F" w:rsidRDefault="00DA3C2F" w:rsidP="00DA3C2F">
      <w:pPr>
        <w:pStyle w:val="ListParagraph"/>
      </w:pPr>
    </w:p>
    <w:p w14:paraId="58113F1D" w14:textId="77777777" w:rsidR="00DA3C2F" w:rsidRDefault="00EA654F" w:rsidP="00DA3C2F">
      <w:pPr>
        <w:pStyle w:val="NormalIndent"/>
        <w:jc w:val="left"/>
        <w:rPr>
          <w:b/>
          <w:sz w:val="28"/>
          <w:szCs w:val="28"/>
        </w:rPr>
      </w:pPr>
      <w:bookmarkStart w:id="0" w:name="_Hlk149836510"/>
      <w:r>
        <w:rPr>
          <w:b/>
          <w:sz w:val="28"/>
          <w:szCs w:val="28"/>
        </w:rPr>
        <w:t>Heads of Service</w:t>
      </w:r>
      <w:r w:rsidR="00DA3C2F" w:rsidRPr="00254F9C">
        <w:rPr>
          <w:b/>
          <w:sz w:val="28"/>
          <w:szCs w:val="28"/>
        </w:rPr>
        <w:t xml:space="preserve">; linkage of pay to </w:t>
      </w:r>
      <w:proofErr w:type="gramStart"/>
      <w:r w:rsidR="00DA3C2F" w:rsidRPr="00254F9C">
        <w:rPr>
          <w:b/>
          <w:sz w:val="28"/>
          <w:szCs w:val="28"/>
        </w:rPr>
        <w:t>performance</w:t>
      </w:r>
      <w:proofErr w:type="gramEnd"/>
    </w:p>
    <w:p w14:paraId="28AF2F4D" w14:textId="77777777" w:rsidR="00DA3C2F" w:rsidRDefault="00EA654F" w:rsidP="00D32888">
      <w:pPr>
        <w:pStyle w:val="NormalIndent"/>
        <w:numPr>
          <w:ilvl w:val="0"/>
          <w:numId w:val="28"/>
        </w:numPr>
        <w:jc w:val="left"/>
        <w:rPr>
          <w:sz w:val="24"/>
          <w:szCs w:val="24"/>
        </w:rPr>
      </w:pPr>
      <w:r>
        <w:rPr>
          <w:sz w:val="24"/>
          <w:szCs w:val="24"/>
        </w:rPr>
        <w:t>Head of Service</w:t>
      </w:r>
      <w:r w:rsidR="00DA3C2F">
        <w:rPr>
          <w:sz w:val="24"/>
          <w:szCs w:val="24"/>
        </w:rPr>
        <w:t xml:space="preserve"> posts are based on a three-point pay scale related to the maximum pay of directors.</w:t>
      </w:r>
    </w:p>
    <w:p w14:paraId="63B668CC" w14:textId="77777777" w:rsidR="00DA3C2F" w:rsidRDefault="00DA3C2F" w:rsidP="00D32888">
      <w:pPr>
        <w:pStyle w:val="NormalIndent"/>
        <w:numPr>
          <w:ilvl w:val="0"/>
          <w:numId w:val="28"/>
        </w:numPr>
        <w:jc w:val="left"/>
        <w:rPr>
          <w:sz w:val="24"/>
          <w:szCs w:val="24"/>
        </w:rPr>
      </w:pPr>
      <w:r>
        <w:rPr>
          <w:sz w:val="24"/>
          <w:szCs w:val="24"/>
        </w:rPr>
        <w:t xml:space="preserve">Under normal circumstances, at the start of employment as a </w:t>
      </w:r>
      <w:r w:rsidR="00EA654F">
        <w:rPr>
          <w:sz w:val="24"/>
          <w:szCs w:val="24"/>
        </w:rPr>
        <w:t>Head of Service</w:t>
      </w:r>
      <w:r>
        <w:rPr>
          <w:sz w:val="24"/>
          <w:szCs w:val="24"/>
        </w:rPr>
        <w:t>, pay will be based on the bottom pay point of the grade.</w:t>
      </w:r>
    </w:p>
    <w:p w14:paraId="67DF536B" w14:textId="77777777" w:rsidR="00DA3C2F" w:rsidRDefault="00DA3C2F" w:rsidP="00D32888">
      <w:pPr>
        <w:pStyle w:val="NormalIndent"/>
        <w:numPr>
          <w:ilvl w:val="0"/>
          <w:numId w:val="28"/>
        </w:numPr>
        <w:ind w:right="474"/>
        <w:jc w:val="left"/>
        <w:rPr>
          <w:sz w:val="24"/>
          <w:szCs w:val="24"/>
        </w:rPr>
      </w:pPr>
      <w:r>
        <w:rPr>
          <w:sz w:val="24"/>
          <w:szCs w:val="24"/>
        </w:rPr>
        <w:t>Progression to the next pay point will follow the general rules applying to NJC officers in respect to timing of awards.</w:t>
      </w:r>
    </w:p>
    <w:p w14:paraId="7D900CA1" w14:textId="77777777" w:rsidR="00DA3C2F" w:rsidRDefault="00DA3C2F" w:rsidP="00D32888">
      <w:pPr>
        <w:pStyle w:val="NormalIndent"/>
        <w:numPr>
          <w:ilvl w:val="0"/>
          <w:numId w:val="28"/>
        </w:numPr>
        <w:jc w:val="left"/>
        <w:rPr>
          <w:sz w:val="24"/>
          <w:szCs w:val="24"/>
        </w:rPr>
      </w:pPr>
      <w:r>
        <w:rPr>
          <w:sz w:val="24"/>
          <w:szCs w:val="24"/>
        </w:rPr>
        <w:t>Directors</w:t>
      </w:r>
      <w:r w:rsidR="00EA654F">
        <w:rPr>
          <w:sz w:val="24"/>
          <w:szCs w:val="24"/>
        </w:rPr>
        <w:t xml:space="preserve"> that</w:t>
      </w:r>
      <w:r>
        <w:rPr>
          <w:sz w:val="24"/>
          <w:szCs w:val="24"/>
        </w:rPr>
        <w:t xml:space="preserve"> line-manage </w:t>
      </w:r>
      <w:r w:rsidR="00EA654F">
        <w:rPr>
          <w:sz w:val="24"/>
          <w:szCs w:val="24"/>
        </w:rPr>
        <w:t>Heads of Service</w:t>
      </w:r>
      <w:r>
        <w:rPr>
          <w:sz w:val="24"/>
          <w:szCs w:val="24"/>
        </w:rPr>
        <w:t xml:space="preserve"> are responsible for setting clear standards of expectation relating to performance or behaviour.  Any shortfall against these expectations will be identified to the </w:t>
      </w:r>
      <w:r w:rsidR="00EA654F">
        <w:rPr>
          <w:sz w:val="24"/>
          <w:szCs w:val="24"/>
        </w:rPr>
        <w:t>Head of Service</w:t>
      </w:r>
      <w:r>
        <w:rPr>
          <w:sz w:val="24"/>
          <w:szCs w:val="24"/>
        </w:rPr>
        <w:t xml:space="preserve"> by a director, normally at the time that the director becomes aware of the issue.  Often, improvement will be sought through the introduction of appropriate support or training without further measures being employed.  </w:t>
      </w:r>
      <w:proofErr w:type="gramStart"/>
      <w:r>
        <w:rPr>
          <w:sz w:val="24"/>
          <w:szCs w:val="24"/>
        </w:rPr>
        <w:t>If</w:t>
      </w:r>
      <w:proofErr w:type="gramEnd"/>
      <w:r>
        <w:rPr>
          <w:sz w:val="24"/>
          <w:szCs w:val="24"/>
        </w:rPr>
        <w:t xml:space="preserve"> however the matter is sufficiently serious or an improvement identified as necessary is not initially forthcoming within a timescale required by the director then that director may choose to freeze the </w:t>
      </w:r>
      <w:r w:rsidR="00EA654F">
        <w:rPr>
          <w:sz w:val="24"/>
          <w:szCs w:val="24"/>
        </w:rPr>
        <w:t>Head of Service</w:t>
      </w:r>
      <w:r>
        <w:rPr>
          <w:sz w:val="24"/>
          <w:szCs w:val="24"/>
        </w:rPr>
        <w:t xml:space="preserve"> on their current pay point (prevent progression to the next pay point when it would otherwise have been made) or to reduce their pay by one or more pay points.</w:t>
      </w:r>
    </w:p>
    <w:p w14:paraId="1A4177BF" w14:textId="77777777" w:rsidR="00DA3C2F" w:rsidRDefault="00DA3C2F" w:rsidP="00D32888">
      <w:pPr>
        <w:pStyle w:val="NormalIndent"/>
        <w:numPr>
          <w:ilvl w:val="0"/>
          <w:numId w:val="28"/>
        </w:numPr>
        <w:jc w:val="left"/>
        <w:rPr>
          <w:sz w:val="24"/>
          <w:szCs w:val="24"/>
        </w:rPr>
      </w:pPr>
      <w:r>
        <w:rPr>
          <w:sz w:val="24"/>
          <w:szCs w:val="24"/>
        </w:rPr>
        <w:t xml:space="preserve">One month’s notice will be given of the intention to reduce pay.  </w:t>
      </w:r>
    </w:p>
    <w:p w14:paraId="5C9BAC95" w14:textId="77777777" w:rsidR="00DA3C2F" w:rsidRDefault="003C05E8" w:rsidP="00D32888">
      <w:pPr>
        <w:pStyle w:val="NormalIndent"/>
        <w:numPr>
          <w:ilvl w:val="0"/>
          <w:numId w:val="28"/>
        </w:numPr>
        <w:jc w:val="left"/>
        <w:rPr>
          <w:sz w:val="24"/>
          <w:szCs w:val="24"/>
        </w:rPr>
      </w:pPr>
      <w:r>
        <w:rPr>
          <w:sz w:val="24"/>
          <w:szCs w:val="24"/>
        </w:rPr>
        <w:br w:type="page"/>
      </w:r>
      <w:r w:rsidR="00DA3C2F">
        <w:rPr>
          <w:sz w:val="24"/>
          <w:szCs w:val="24"/>
        </w:rPr>
        <w:t xml:space="preserve">Should pay be reduced, this change will be applied for a minimum of six months.  The length of reduction will be determined by the director. At the end of the period defined by the director, during which time progress against an improvement plan will be monitored, should improvement be satisfactory then pay will be returned to the previous pay point. </w:t>
      </w:r>
    </w:p>
    <w:p w14:paraId="5B38B3EF" w14:textId="77777777" w:rsidR="00DA3C2F" w:rsidRDefault="00DA3C2F" w:rsidP="00D32888">
      <w:pPr>
        <w:pStyle w:val="NormalIndent"/>
        <w:numPr>
          <w:ilvl w:val="0"/>
          <w:numId w:val="28"/>
        </w:numPr>
        <w:jc w:val="left"/>
        <w:rPr>
          <w:sz w:val="24"/>
          <w:szCs w:val="24"/>
        </w:rPr>
      </w:pPr>
      <w:r>
        <w:rPr>
          <w:sz w:val="24"/>
          <w:szCs w:val="24"/>
        </w:rPr>
        <w:t xml:space="preserve">If pay is frozen then progress against an improvement plan will be monitored. If performance or behaviour does improve sufficiently then from the point at which this determined by the </w:t>
      </w:r>
      <w:proofErr w:type="gramStart"/>
      <w:r>
        <w:rPr>
          <w:sz w:val="24"/>
          <w:szCs w:val="24"/>
        </w:rPr>
        <w:t>director</w:t>
      </w:r>
      <w:proofErr w:type="gramEnd"/>
      <w:r>
        <w:rPr>
          <w:sz w:val="24"/>
          <w:szCs w:val="24"/>
        </w:rPr>
        <w:t xml:space="preserve"> then progression will be made to the next pay point.   If further progression within the grade is possible then the top pay point will be paid one year from the date that the pay had been “un-frozen”.   </w:t>
      </w:r>
    </w:p>
    <w:p w14:paraId="295BAF91" w14:textId="77777777" w:rsidR="00DA3C2F" w:rsidRDefault="00DA3C2F" w:rsidP="00D32888">
      <w:pPr>
        <w:pStyle w:val="NormalIndent"/>
        <w:numPr>
          <w:ilvl w:val="0"/>
          <w:numId w:val="28"/>
        </w:numPr>
        <w:jc w:val="left"/>
        <w:rPr>
          <w:sz w:val="24"/>
          <w:szCs w:val="24"/>
        </w:rPr>
      </w:pPr>
      <w:r>
        <w:rPr>
          <w:sz w:val="24"/>
          <w:szCs w:val="24"/>
        </w:rPr>
        <w:t xml:space="preserve">The above measures may be applied outside a formal capability procedure.  If, however, the measures are applied to a </w:t>
      </w:r>
      <w:r w:rsidR="00EA654F">
        <w:rPr>
          <w:sz w:val="24"/>
          <w:szCs w:val="24"/>
        </w:rPr>
        <w:t>Head of Service</w:t>
      </w:r>
      <w:r>
        <w:rPr>
          <w:sz w:val="24"/>
          <w:szCs w:val="24"/>
        </w:rPr>
        <w:t xml:space="preserve"> and the measures are applied for a year or more, it is likely that the matter will be dealt with under a formal capability procedure.  </w:t>
      </w:r>
    </w:p>
    <w:p w14:paraId="3D6B1C0D" w14:textId="77777777" w:rsidR="00DA3C2F" w:rsidRDefault="00DA3C2F" w:rsidP="00D32888">
      <w:pPr>
        <w:pStyle w:val="NormalIndent"/>
        <w:numPr>
          <w:ilvl w:val="0"/>
          <w:numId w:val="28"/>
        </w:numPr>
        <w:jc w:val="left"/>
        <w:rPr>
          <w:sz w:val="24"/>
          <w:szCs w:val="24"/>
        </w:rPr>
      </w:pPr>
      <w:r>
        <w:rPr>
          <w:sz w:val="24"/>
          <w:szCs w:val="24"/>
        </w:rPr>
        <w:t>The broad terms and process of the Capability Procedure defined in the Employee Handbook will be used to deal with any serious or persistent problems of capability and the use of this formal procedure may be applied either in conjunction with or separate to the measures relating to pay freezing or reduction.</w:t>
      </w:r>
    </w:p>
    <w:p w14:paraId="511FF869" w14:textId="77777777" w:rsidR="00DA3C2F" w:rsidRDefault="00DA3C2F" w:rsidP="00D32888">
      <w:pPr>
        <w:pStyle w:val="NormalIndent"/>
        <w:numPr>
          <w:ilvl w:val="0"/>
          <w:numId w:val="28"/>
        </w:numPr>
        <w:jc w:val="left"/>
        <w:rPr>
          <w:sz w:val="24"/>
          <w:szCs w:val="24"/>
        </w:rPr>
      </w:pPr>
      <w:r w:rsidRPr="00B81179">
        <w:rPr>
          <w:sz w:val="24"/>
          <w:szCs w:val="24"/>
        </w:rPr>
        <w:t xml:space="preserve">A final right of appeal exists to a director’s decision to freeze or reduce pay, or to the length of time for which this pay detriment is applied.  This appeal should be addressed </w:t>
      </w:r>
      <w:proofErr w:type="gramStart"/>
      <w:r w:rsidRPr="00B81179">
        <w:rPr>
          <w:sz w:val="24"/>
          <w:szCs w:val="24"/>
        </w:rPr>
        <w:t>to, and</w:t>
      </w:r>
      <w:proofErr w:type="gramEnd"/>
      <w:r w:rsidRPr="00B81179">
        <w:rPr>
          <w:sz w:val="24"/>
          <w:szCs w:val="24"/>
        </w:rPr>
        <w:t xml:space="preserve"> will be dealt with by the Chief Executive or an officer nominated by the Chief Executive.</w:t>
      </w:r>
    </w:p>
    <w:bookmarkEnd w:id="0"/>
    <w:p w14:paraId="5289BE3E" w14:textId="77777777" w:rsidR="00DA3C2F" w:rsidRDefault="00DA3C2F" w:rsidP="00DA3C2F">
      <w:pPr>
        <w:ind w:left="-993"/>
        <w:jc w:val="right"/>
        <w:sectPr w:rsidR="00DA3C2F" w:rsidSect="003C05E8">
          <w:pgSz w:w="12240" w:h="15840" w:code="1"/>
          <w:pgMar w:top="567" w:right="900" w:bottom="567" w:left="567" w:header="289" w:footer="720" w:gutter="0"/>
          <w:cols w:space="720"/>
          <w:docGrid w:linePitch="326"/>
        </w:sectPr>
      </w:pPr>
    </w:p>
    <w:p w14:paraId="09543229" w14:textId="77777777" w:rsidR="00240B0C" w:rsidRDefault="00F16738" w:rsidP="00DA3C2F">
      <w:pPr>
        <w:ind w:left="-993"/>
        <w:jc w:val="right"/>
      </w:pPr>
      <w:r>
        <w:t>Appendix ii</w:t>
      </w:r>
      <w:r w:rsidR="00BA7DD3">
        <w:t>i</w:t>
      </w:r>
    </w:p>
    <w:p w14:paraId="7E14F601" w14:textId="77777777" w:rsidR="00DA3C2F" w:rsidRDefault="00DA3C2F" w:rsidP="00DA3C2F">
      <w:pPr>
        <w:ind w:left="-993"/>
        <w:jc w:val="right"/>
      </w:pPr>
    </w:p>
    <w:p w14:paraId="052E7D87" w14:textId="77777777" w:rsidR="00240B0C" w:rsidRPr="00240B0C" w:rsidRDefault="00240B0C" w:rsidP="00D9180A">
      <w:pPr>
        <w:pStyle w:val="Title"/>
        <w:ind w:left="851" w:right="283"/>
        <w:jc w:val="left"/>
        <w:rPr>
          <w:szCs w:val="28"/>
          <w:u w:val="none"/>
        </w:rPr>
      </w:pPr>
      <w:r w:rsidRPr="00240B0C">
        <w:rPr>
          <w:szCs w:val="28"/>
          <w:u w:val="none"/>
        </w:rPr>
        <w:t xml:space="preserve">Enabling employment security - </w:t>
      </w:r>
    </w:p>
    <w:p w14:paraId="63924C94" w14:textId="77777777" w:rsidR="00240B0C" w:rsidRPr="00240B0C" w:rsidRDefault="00240B0C" w:rsidP="00D9180A">
      <w:pPr>
        <w:pStyle w:val="Title"/>
        <w:ind w:left="851" w:right="283"/>
        <w:jc w:val="left"/>
        <w:rPr>
          <w:szCs w:val="28"/>
          <w:u w:val="none"/>
        </w:rPr>
      </w:pPr>
      <w:r w:rsidRPr="00240B0C">
        <w:rPr>
          <w:szCs w:val="28"/>
          <w:u w:val="none"/>
        </w:rPr>
        <w:t xml:space="preserve">Protocol for managing changes in posts throughout the </w:t>
      </w:r>
      <w:proofErr w:type="gramStart"/>
      <w:r w:rsidR="000E48ED">
        <w:rPr>
          <w:szCs w:val="28"/>
          <w:u w:val="none"/>
        </w:rPr>
        <w:t>Council</w:t>
      </w:r>
      <w:proofErr w:type="gramEnd"/>
    </w:p>
    <w:p w14:paraId="7E90ADDE" w14:textId="77777777" w:rsidR="00240B0C" w:rsidRPr="00A05CEA" w:rsidRDefault="00240B0C" w:rsidP="00D9180A">
      <w:pPr>
        <w:pStyle w:val="Title"/>
        <w:ind w:left="851" w:right="283"/>
        <w:jc w:val="left"/>
        <w:rPr>
          <w:rFonts w:cs="Arial"/>
          <w:b w:val="0"/>
          <w:sz w:val="24"/>
          <w:szCs w:val="24"/>
          <w:u w:val="none"/>
        </w:rPr>
      </w:pPr>
    </w:p>
    <w:p w14:paraId="0F6B1144" w14:textId="77777777" w:rsidR="00240B0C" w:rsidRDefault="00DB62C7" w:rsidP="00D9180A">
      <w:pPr>
        <w:ind w:left="851" w:right="283"/>
        <w:rPr>
          <w:rFonts w:cs="Arial"/>
          <w:bCs/>
          <w:szCs w:val="24"/>
        </w:rPr>
      </w:pPr>
      <w:r w:rsidRPr="00DB62C7">
        <w:rPr>
          <w:rFonts w:cs="Arial"/>
          <w:bCs/>
          <w:szCs w:val="24"/>
        </w:rPr>
        <w:t>Updated December 2016</w:t>
      </w:r>
    </w:p>
    <w:p w14:paraId="19821BAC" w14:textId="77777777" w:rsidR="00DB62C7" w:rsidRPr="00DB62C7" w:rsidRDefault="00DB62C7" w:rsidP="00D9180A">
      <w:pPr>
        <w:ind w:left="851" w:right="283"/>
        <w:rPr>
          <w:rFonts w:cs="Arial"/>
          <w:bCs/>
          <w:szCs w:val="24"/>
        </w:rPr>
      </w:pPr>
    </w:p>
    <w:p w14:paraId="2F6C5147" w14:textId="77777777" w:rsidR="00240B0C" w:rsidRPr="00A05CEA" w:rsidRDefault="00240B0C" w:rsidP="00D9180A">
      <w:pPr>
        <w:pStyle w:val="Heading1"/>
        <w:ind w:left="851" w:right="283"/>
        <w:rPr>
          <w:rFonts w:cs="Arial"/>
          <w:szCs w:val="24"/>
        </w:rPr>
      </w:pPr>
      <w:bookmarkStart w:id="1" w:name="_Toc281480742"/>
      <w:r w:rsidRPr="00A05CEA">
        <w:rPr>
          <w:rFonts w:cs="Arial"/>
          <w:szCs w:val="24"/>
        </w:rPr>
        <w:t>1.  Background</w:t>
      </w:r>
      <w:bookmarkEnd w:id="1"/>
    </w:p>
    <w:p w14:paraId="6976E8AF" w14:textId="77777777" w:rsidR="00240B0C" w:rsidRPr="00A05CEA" w:rsidRDefault="00240B0C" w:rsidP="00D9180A">
      <w:pPr>
        <w:ind w:left="851" w:right="283"/>
        <w:rPr>
          <w:rFonts w:cs="Arial"/>
          <w:szCs w:val="24"/>
        </w:rPr>
      </w:pPr>
    </w:p>
    <w:p w14:paraId="11C95DE4" w14:textId="77777777" w:rsidR="00240B0C" w:rsidRPr="00A05CEA" w:rsidRDefault="00DB62C7" w:rsidP="00D9180A">
      <w:pPr>
        <w:ind w:left="851" w:right="283"/>
        <w:rPr>
          <w:rFonts w:cs="Arial"/>
          <w:szCs w:val="24"/>
        </w:rPr>
      </w:pPr>
      <w:r>
        <w:rPr>
          <w:rFonts w:cs="Arial"/>
          <w:szCs w:val="24"/>
        </w:rPr>
        <w:t>As with most public sector organisations, the</w:t>
      </w:r>
      <w:r w:rsidR="00240B0C" w:rsidRPr="00A05CEA">
        <w:rPr>
          <w:rFonts w:cs="Arial"/>
          <w:szCs w:val="24"/>
        </w:rPr>
        <w:t xml:space="preserve"> Council will be required to make budgetary savings </w:t>
      </w:r>
      <w:r>
        <w:rPr>
          <w:rFonts w:cs="Arial"/>
          <w:szCs w:val="24"/>
        </w:rPr>
        <w:t xml:space="preserve">for the foreseeable future. It </w:t>
      </w:r>
      <w:r w:rsidR="00240B0C" w:rsidRPr="00A05CEA">
        <w:rPr>
          <w:rFonts w:cs="Arial"/>
          <w:szCs w:val="24"/>
        </w:rPr>
        <w:t>is expected that</w:t>
      </w:r>
      <w:r>
        <w:rPr>
          <w:rFonts w:cs="Arial"/>
          <w:szCs w:val="24"/>
        </w:rPr>
        <w:t xml:space="preserve"> these savings </w:t>
      </w:r>
      <w:r w:rsidR="00240B0C" w:rsidRPr="00A05CEA">
        <w:rPr>
          <w:rFonts w:cs="Arial"/>
          <w:szCs w:val="24"/>
        </w:rPr>
        <w:t xml:space="preserve">will not be able to be met by efficiencies alone and that some services may have to be significantly reduced or </w:t>
      </w:r>
      <w:r>
        <w:rPr>
          <w:rFonts w:cs="Arial"/>
          <w:szCs w:val="24"/>
        </w:rPr>
        <w:t xml:space="preserve">to </w:t>
      </w:r>
      <w:r w:rsidR="00240B0C" w:rsidRPr="00A05CEA">
        <w:rPr>
          <w:rFonts w:cs="Arial"/>
          <w:szCs w:val="24"/>
        </w:rPr>
        <w:t>cease.</w:t>
      </w:r>
    </w:p>
    <w:p w14:paraId="75239EE9" w14:textId="77777777" w:rsidR="00240B0C" w:rsidRPr="00A05CEA" w:rsidRDefault="00240B0C" w:rsidP="00D9180A">
      <w:pPr>
        <w:ind w:left="851" w:right="283"/>
        <w:rPr>
          <w:rFonts w:cs="Arial"/>
          <w:szCs w:val="24"/>
        </w:rPr>
      </w:pPr>
    </w:p>
    <w:p w14:paraId="72943B7D" w14:textId="77777777" w:rsidR="00240B0C" w:rsidRPr="00A05CEA" w:rsidRDefault="00240B0C" w:rsidP="00D9180A">
      <w:pPr>
        <w:ind w:left="851" w:right="283"/>
        <w:rPr>
          <w:rFonts w:cs="Arial"/>
          <w:szCs w:val="24"/>
        </w:rPr>
      </w:pPr>
      <w:r w:rsidRPr="00A05CEA">
        <w:rPr>
          <w:rFonts w:cs="Arial"/>
          <w:szCs w:val="24"/>
        </w:rPr>
        <w:t xml:space="preserve">This has implications for our workforce and as a good employer with a track record of </w:t>
      </w:r>
      <w:r w:rsidR="00DB62C7">
        <w:rPr>
          <w:rFonts w:cs="Arial"/>
          <w:szCs w:val="24"/>
        </w:rPr>
        <w:t xml:space="preserve">working to </w:t>
      </w:r>
      <w:r w:rsidRPr="00A05CEA">
        <w:rPr>
          <w:rFonts w:cs="Arial"/>
          <w:szCs w:val="24"/>
        </w:rPr>
        <w:t xml:space="preserve">avoid compulsory redundancy this protocol is intended to </w:t>
      </w:r>
      <w:r w:rsidR="00DB62C7">
        <w:rPr>
          <w:rFonts w:cs="Arial"/>
          <w:szCs w:val="24"/>
        </w:rPr>
        <w:t>provide a supportive mechanism for managing change</w:t>
      </w:r>
      <w:r w:rsidRPr="00A05CEA">
        <w:rPr>
          <w:rFonts w:cs="Arial"/>
          <w:szCs w:val="24"/>
        </w:rPr>
        <w:t xml:space="preserve">.  </w:t>
      </w:r>
    </w:p>
    <w:p w14:paraId="3BBB2B83" w14:textId="77777777" w:rsidR="00240B0C" w:rsidRPr="00A05CEA" w:rsidRDefault="00240B0C" w:rsidP="00D9180A">
      <w:pPr>
        <w:ind w:left="851" w:right="283"/>
        <w:rPr>
          <w:rFonts w:cs="Arial"/>
          <w:szCs w:val="24"/>
        </w:rPr>
      </w:pPr>
    </w:p>
    <w:p w14:paraId="1681193C" w14:textId="77777777" w:rsidR="00240B0C" w:rsidRPr="00A05CEA" w:rsidRDefault="00240B0C" w:rsidP="00D9180A">
      <w:pPr>
        <w:pStyle w:val="Heading1"/>
        <w:ind w:left="851" w:right="283"/>
        <w:rPr>
          <w:rFonts w:cs="Arial"/>
          <w:szCs w:val="24"/>
        </w:rPr>
      </w:pPr>
      <w:bookmarkStart w:id="2" w:name="_Toc281480743"/>
      <w:r w:rsidRPr="00A05CEA">
        <w:rPr>
          <w:rFonts w:cs="Arial"/>
          <w:szCs w:val="24"/>
        </w:rPr>
        <w:t>2.  Aim</w:t>
      </w:r>
      <w:bookmarkEnd w:id="2"/>
    </w:p>
    <w:p w14:paraId="71B1C1B3" w14:textId="77777777" w:rsidR="00240B0C" w:rsidRPr="00A05CEA" w:rsidRDefault="00240B0C" w:rsidP="00D9180A">
      <w:pPr>
        <w:ind w:left="851" w:right="283"/>
        <w:rPr>
          <w:rFonts w:cs="Arial"/>
          <w:szCs w:val="24"/>
        </w:rPr>
      </w:pPr>
    </w:p>
    <w:p w14:paraId="4B60E4FD" w14:textId="77777777" w:rsidR="00240B0C" w:rsidRPr="00A05CEA" w:rsidRDefault="00240B0C" w:rsidP="00D9180A">
      <w:pPr>
        <w:ind w:left="851" w:right="283"/>
        <w:rPr>
          <w:rFonts w:cs="Arial"/>
          <w:szCs w:val="24"/>
        </w:rPr>
      </w:pPr>
      <w:r w:rsidRPr="00A05CEA">
        <w:rPr>
          <w:rFonts w:cs="Arial"/>
          <w:szCs w:val="24"/>
        </w:rPr>
        <w:t xml:space="preserve">The aim of this protocol is </w:t>
      </w:r>
      <w:proofErr w:type="gramStart"/>
      <w:r w:rsidRPr="00A05CEA">
        <w:rPr>
          <w:rFonts w:cs="Arial"/>
          <w:szCs w:val="24"/>
        </w:rPr>
        <w:t>to :</w:t>
      </w:r>
      <w:proofErr w:type="gramEnd"/>
    </w:p>
    <w:p w14:paraId="5F3DAC94" w14:textId="77777777" w:rsidR="00240B0C" w:rsidRPr="00A05CEA" w:rsidRDefault="00240B0C" w:rsidP="00D9180A">
      <w:pPr>
        <w:ind w:left="851" w:right="283"/>
        <w:rPr>
          <w:rFonts w:cs="Arial"/>
          <w:szCs w:val="24"/>
        </w:rPr>
      </w:pPr>
    </w:p>
    <w:p w14:paraId="5C128E78" w14:textId="77777777" w:rsidR="00240B0C" w:rsidRPr="00A05CEA" w:rsidRDefault="00240B0C" w:rsidP="00D32888">
      <w:pPr>
        <w:numPr>
          <w:ilvl w:val="0"/>
          <w:numId w:val="22"/>
        </w:numPr>
        <w:ind w:left="851" w:right="283" w:hanging="142"/>
        <w:rPr>
          <w:rFonts w:cs="Arial"/>
          <w:szCs w:val="24"/>
        </w:rPr>
      </w:pPr>
      <w:r w:rsidRPr="00A05CEA">
        <w:rPr>
          <w:rFonts w:cs="Arial"/>
          <w:szCs w:val="24"/>
        </w:rPr>
        <w:t xml:space="preserve">give as much employment security as possible to existing </w:t>
      </w:r>
      <w:proofErr w:type="gramStart"/>
      <w:r w:rsidRPr="00A05CEA">
        <w:rPr>
          <w:rFonts w:cs="Arial"/>
          <w:szCs w:val="24"/>
        </w:rPr>
        <w:t>employees</w:t>
      </w:r>
      <w:proofErr w:type="gramEnd"/>
    </w:p>
    <w:p w14:paraId="4EF0703A" w14:textId="77777777" w:rsidR="00240B0C" w:rsidRPr="00A05CEA" w:rsidRDefault="00240B0C" w:rsidP="00D32888">
      <w:pPr>
        <w:numPr>
          <w:ilvl w:val="0"/>
          <w:numId w:val="22"/>
        </w:numPr>
        <w:ind w:left="851" w:right="283" w:hanging="142"/>
        <w:rPr>
          <w:rFonts w:cs="Arial"/>
          <w:szCs w:val="24"/>
        </w:rPr>
      </w:pPr>
      <w:r w:rsidRPr="00A05CEA">
        <w:rPr>
          <w:rFonts w:cs="Arial"/>
          <w:szCs w:val="24"/>
        </w:rPr>
        <w:t xml:space="preserve">utilise the existing skills and knowledge of employees for the overall benefit of the </w:t>
      </w:r>
      <w:proofErr w:type="gramStart"/>
      <w:r w:rsidRPr="00A05CEA">
        <w:rPr>
          <w:rFonts w:cs="Arial"/>
          <w:szCs w:val="24"/>
        </w:rPr>
        <w:t>Council</w:t>
      </w:r>
      <w:proofErr w:type="gramEnd"/>
    </w:p>
    <w:p w14:paraId="790E4AB7" w14:textId="77777777" w:rsidR="00240B0C" w:rsidRPr="00A05CEA" w:rsidRDefault="00240B0C" w:rsidP="00D32888">
      <w:pPr>
        <w:pStyle w:val="ListParagraph"/>
        <w:numPr>
          <w:ilvl w:val="0"/>
          <w:numId w:val="22"/>
        </w:numPr>
        <w:spacing w:after="0" w:line="240" w:lineRule="auto"/>
        <w:ind w:left="851" w:right="283" w:hanging="142"/>
      </w:pPr>
      <w:r w:rsidRPr="00A05CEA">
        <w:t xml:space="preserve">avoid redundancies as far as </w:t>
      </w:r>
      <w:proofErr w:type="gramStart"/>
      <w:r w:rsidRPr="00A05CEA">
        <w:t>possible</w:t>
      </w:r>
      <w:proofErr w:type="gramEnd"/>
      <w:r w:rsidRPr="00A05CEA">
        <w:t xml:space="preserve">  </w:t>
      </w:r>
    </w:p>
    <w:p w14:paraId="34555308" w14:textId="77777777" w:rsidR="00240B0C" w:rsidRPr="00A05CEA" w:rsidRDefault="00240B0C" w:rsidP="00D32888">
      <w:pPr>
        <w:pStyle w:val="ListParagraph"/>
        <w:numPr>
          <w:ilvl w:val="0"/>
          <w:numId w:val="22"/>
        </w:numPr>
        <w:spacing w:after="0" w:line="240" w:lineRule="auto"/>
        <w:ind w:left="851" w:right="283" w:hanging="142"/>
      </w:pPr>
      <w:r w:rsidRPr="00A05CEA">
        <w:t xml:space="preserve">operate a fair process for retaining employees, where workload is </w:t>
      </w:r>
      <w:proofErr w:type="gramStart"/>
      <w:r w:rsidRPr="00A05CEA">
        <w:t>changing</w:t>
      </w:r>
      <w:proofErr w:type="gramEnd"/>
    </w:p>
    <w:p w14:paraId="485F19D2" w14:textId="77777777" w:rsidR="00240B0C" w:rsidRPr="00A05CEA" w:rsidRDefault="00240B0C" w:rsidP="00D32888">
      <w:pPr>
        <w:numPr>
          <w:ilvl w:val="0"/>
          <w:numId w:val="22"/>
        </w:numPr>
        <w:ind w:left="851" w:right="283" w:hanging="142"/>
        <w:rPr>
          <w:rFonts w:cs="Arial"/>
          <w:szCs w:val="24"/>
        </w:rPr>
      </w:pPr>
      <w:r w:rsidRPr="00A05CEA">
        <w:rPr>
          <w:rFonts w:cs="Arial"/>
          <w:szCs w:val="24"/>
        </w:rPr>
        <w:t xml:space="preserve">offer personal development opportunities on a fair </w:t>
      </w:r>
      <w:proofErr w:type="gramStart"/>
      <w:r w:rsidRPr="00A05CEA">
        <w:rPr>
          <w:rFonts w:cs="Arial"/>
          <w:szCs w:val="24"/>
        </w:rPr>
        <w:t>basis</w:t>
      </w:r>
      <w:proofErr w:type="gramEnd"/>
    </w:p>
    <w:p w14:paraId="036E64CF" w14:textId="77777777" w:rsidR="00240B0C" w:rsidRPr="00A05CEA" w:rsidRDefault="00240B0C" w:rsidP="00D9180A">
      <w:pPr>
        <w:ind w:left="851" w:right="283"/>
        <w:rPr>
          <w:rFonts w:cs="Arial"/>
          <w:szCs w:val="24"/>
        </w:rPr>
      </w:pPr>
    </w:p>
    <w:p w14:paraId="3D1E12AB" w14:textId="77777777" w:rsidR="00240B0C" w:rsidRPr="00A05CEA" w:rsidRDefault="00240B0C" w:rsidP="00D9180A">
      <w:pPr>
        <w:ind w:left="851" w:right="283"/>
        <w:rPr>
          <w:rFonts w:cs="Arial"/>
          <w:b/>
          <w:szCs w:val="24"/>
        </w:rPr>
      </w:pPr>
      <w:r w:rsidRPr="00A05CEA">
        <w:rPr>
          <w:rFonts w:cs="Arial"/>
          <w:b/>
          <w:szCs w:val="24"/>
        </w:rPr>
        <w:t>3.  Vacancy Management</w:t>
      </w:r>
    </w:p>
    <w:p w14:paraId="45BF102C" w14:textId="77777777" w:rsidR="00240B0C" w:rsidRPr="00A05CEA" w:rsidRDefault="00240B0C" w:rsidP="00D9180A">
      <w:pPr>
        <w:ind w:left="851" w:right="283"/>
        <w:rPr>
          <w:rFonts w:cs="Arial"/>
          <w:szCs w:val="24"/>
          <w:u w:val="single"/>
        </w:rPr>
      </w:pPr>
    </w:p>
    <w:p w14:paraId="4DDC50F5" w14:textId="77777777" w:rsidR="00240B0C" w:rsidRDefault="00D9180A" w:rsidP="00D9180A">
      <w:pPr>
        <w:ind w:left="851" w:right="283"/>
        <w:rPr>
          <w:rFonts w:cs="Arial"/>
          <w:szCs w:val="24"/>
        </w:rPr>
      </w:pPr>
      <w:r>
        <w:rPr>
          <w:rFonts w:cs="Arial"/>
          <w:szCs w:val="24"/>
        </w:rPr>
        <w:t>In cases when employees are at potential risk of redundancy, the following protocol is observed:</w:t>
      </w:r>
    </w:p>
    <w:p w14:paraId="181AB334" w14:textId="77777777" w:rsidR="00D9180A" w:rsidRPr="00A05CEA" w:rsidRDefault="00D9180A" w:rsidP="00D9180A">
      <w:pPr>
        <w:ind w:left="851" w:right="283"/>
        <w:rPr>
          <w:rFonts w:cs="Arial"/>
          <w:szCs w:val="24"/>
        </w:rPr>
      </w:pPr>
    </w:p>
    <w:p w14:paraId="53599074" w14:textId="77777777" w:rsidR="00240B0C" w:rsidRPr="00A05CEA" w:rsidRDefault="00240B0C" w:rsidP="00D32888">
      <w:pPr>
        <w:numPr>
          <w:ilvl w:val="0"/>
          <w:numId w:val="23"/>
        </w:numPr>
        <w:ind w:left="851" w:right="283" w:hanging="218"/>
        <w:rPr>
          <w:rFonts w:cs="Arial"/>
          <w:szCs w:val="24"/>
        </w:rPr>
      </w:pPr>
      <w:r w:rsidRPr="00A05CEA">
        <w:rPr>
          <w:rFonts w:cs="Arial"/>
          <w:szCs w:val="24"/>
        </w:rPr>
        <w:t xml:space="preserve">Confirmation </w:t>
      </w:r>
      <w:r w:rsidR="00D9180A">
        <w:rPr>
          <w:rFonts w:cs="Arial"/>
          <w:szCs w:val="24"/>
        </w:rPr>
        <w:t xml:space="preserve">by Senior Leadership Team that a vacant </w:t>
      </w:r>
      <w:r w:rsidRPr="00A05CEA">
        <w:rPr>
          <w:rFonts w:cs="Arial"/>
          <w:szCs w:val="24"/>
        </w:rPr>
        <w:t>post can be filled.</w:t>
      </w:r>
    </w:p>
    <w:p w14:paraId="2E07A5AE" w14:textId="77777777" w:rsidR="00240B0C" w:rsidRPr="00A05CEA" w:rsidRDefault="00240B0C" w:rsidP="00D9180A">
      <w:pPr>
        <w:ind w:left="851" w:right="283" w:hanging="218"/>
        <w:rPr>
          <w:rFonts w:cs="Arial"/>
          <w:szCs w:val="24"/>
        </w:rPr>
      </w:pPr>
    </w:p>
    <w:p w14:paraId="766BE17E" w14:textId="471C6B92" w:rsidR="00240B0C" w:rsidRPr="00A05CEA" w:rsidRDefault="00240B0C" w:rsidP="00D32888">
      <w:pPr>
        <w:numPr>
          <w:ilvl w:val="0"/>
          <w:numId w:val="23"/>
        </w:numPr>
        <w:ind w:left="851" w:right="283" w:hanging="218"/>
        <w:rPr>
          <w:rFonts w:cs="Arial"/>
          <w:szCs w:val="24"/>
        </w:rPr>
      </w:pPr>
      <w:r w:rsidRPr="00A05CEA">
        <w:rPr>
          <w:rFonts w:cs="Arial"/>
          <w:szCs w:val="24"/>
        </w:rPr>
        <w:t xml:space="preserve">Consider, in liaison with </w:t>
      </w:r>
      <w:r w:rsidR="00EF3710">
        <w:rPr>
          <w:rFonts w:cs="Arial"/>
          <w:szCs w:val="24"/>
        </w:rPr>
        <w:t>HR</w:t>
      </w:r>
      <w:r w:rsidRPr="00A05CEA">
        <w:rPr>
          <w:rFonts w:cs="Arial"/>
          <w:szCs w:val="24"/>
        </w:rPr>
        <w:t>, whether there are redeployees/</w:t>
      </w:r>
      <w:r>
        <w:rPr>
          <w:rFonts w:cs="Arial"/>
          <w:szCs w:val="24"/>
        </w:rPr>
        <w:t xml:space="preserve"> </w:t>
      </w:r>
      <w:r w:rsidRPr="00A05CEA">
        <w:rPr>
          <w:rFonts w:cs="Arial"/>
          <w:szCs w:val="24"/>
        </w:rPr>
        <w:t>secondees identified across the Council for whom this post is suitable, or with some adjustment to the requirements it would be suitable.  If so then redeployees/</w:t>
      </w:r>
      <w:r>
        <w:rPr>
          <w:rFonts w:cs="Arial"/>
          <w:szCs w:val="24"/>
        </w:rPr>
        <w:t xml:space="preserve"> </w:t>
      </w:r>
      <w:r w:rsidRPr="00A05CEA">
        <w:rPr>
          <w:rFonts w:cs="Arial"/>
          <w:szCs w:val="24"/>
        </w:rPr>
        <w:t>secondees will be placed in the post. (see section 4.1 below).</w:t>
      </w:r>
    </w:p>
    <w:p w14:paraId="23B6A473" w14:textId="77777777" w:rsidR="00240B0C" w:rsidRPr="00A05CEA" w:rsidRDefault="00240B0C" w:rsidP="00D9180A">
      <w:pPr>
        <w:ind w:left="851" w:right="283" w:hanging="218"/>
        <w:rPr>
          <w:rFonts w:cs="Arial"/>
          <w:szCs w:val="24"/>
        </w:rPr>
      </w:pPr>
    </w:p>
    <w:p w14:paraId="30CF850D" w14:textId="77777777" w:rsidR="00240B0C" w:rsidRPr="00A05CEA" w:rsidRDefault="00240B0C" w:rsidP="00D32888">
      <w:pPr>
        <w:numPr>
          <w:ilvl w:val="0"/>
          <w:numId w:val="23"/>
        </w:numPr>
        <w:ind w:left="851" w:right="283" w:hanging="218"/>
        <w:rPr>
          <w:rFonts w:cs="Arial"/>
          <w:szCs w:val="24"/>
        </w:rPr>
      </w:pPr>
      <w:r w:rsidRPr="00A05CEA">
        <w:rPr>
          <w:rFonts w:cs="Arial"/>
          <w:szCs w:val="24"/>
        </w:rPr>
        <w:t>If there are no suitable candidates from posts at risk, then the post will initially be advertised internally.  Managers will take a flexible approach to the requirements in the person specification such that existing employees can more easily be considered for the post.  This may mean that the grade is reduced and/or there is a training period required before the individual can be placed on the full grade.</w:t>
      </w:r>
    </w:p>
    <w:p w14:paraId="2430232F" w14:textId="77777777" w:rsidR="00240B0C" w:rsidRPr="00A05CEA" w:rsidRDefault="00240B0C" w:rsidP="00D9180A">
      <w:pPr>
        <w:ind w:left="851" w:right="283" w:hanging="218"/>
        <w:rPr>
          <w:rFonts w:cs="Arial"/>
          <w:szCs w:val="24"/>
        </w:rPr>
      </w:pPr>
    </w:p>
    <w:p w14:paraId="65C28548" w14:textId="77777777" w:rsidR="00240B0C" w:rsidRPr="00A05CEA" w:rsidRDefault="00240B0C" w:rsidP="00D32888">
      <w:pPr>
        <w:numPr>
          <w:ilvl w:val="0"/>
          <w:numId w:val="23"/>
        </w:numPr>
        <w:ind w:left="851" w:right="283" w:hanging="218"/>
        <w:rPr>
          <w:rFonts w:cs="Arial"/>
          <w:szCs w:val="24"/>
        </w:rPr>
      </w:pPr>
      <w:r w:rsidRPr="00A05CEA">
        <w:rPr>
          <w:rFonts w:cs="Arial"/>
          <w:szCs w:val="24"/>
        </w:rPr>
        <w:t xml:space="preserve">Internally advertised posts might be on a permanent or temporary basis (where for example it is dependent on funding).  Existing employees who take a temporary post will not lose their employment rights and at the end of the temporary appointment the aim will be for them to revert to either their existing job or an equivalent.  </w:t>
      </w:r>
    </w:p>
    <w:p w14:paraId="728018BC" w14:textId="77777777" w:rsidR="00240B0C" w:rsidRPr="00A05CEA" w:rsidRDefault="00240B0C" w:rsidP="00D9180A">
      <w:pPr>
        <w:ind w:left="851" w:right="283"/>
        <w:rPr>
          <w:rFonts w:cs="Arial"/>
          <w:szCs w:val="24"/>
        </w:rPr>
      </w:pPr>
    </w:p>
    <w:p w14:paraId="3741CE9F" w14:textId="77777777" w:rsidR="00240B0C" w:rsidRPr="00A05CEA" w:rsidRDefault="00240B0C" w:rsidP="00D32888">
      <w:pPr>
        <w:numPr>
          <w:ilvl w:val="0"/>
          <w:numId w:val="23"/>
        </w:numPr>
        <w:ind w:left="851" w:right="283" w:hanging="218"/>
        <w:rPr>
          <w:rFonts w:cs="Arial"/>
          <w:szCs w:val="24"/>
        </w:rPr>
      </w:pPr>
      <w:r w:rsidRPr="00A05CEA">
        <w:rPr>
          <w:rFonts w:cs="Arial"/>
          <w:szCs w:val="24"/>
        </w:rPr>
        <w:t xml:space="preserve">Posts that are not filled internally will be advertised externally; </w:t>
      </w:r>
      <w:proofErr w:type="gramStart"/>
      <w:r w:rsidRPr="00A05CEA">
        <w:rPr>
          <w:rFonts w:cs="Arial"/>
          <w:szCs w:val="24"/>
        </w:rPr>
        <w:t>however</w:t>
      </w:r>
      <w:proofErr w:type="gramEnd"/>
      <w:r w:rsidRPr="00A05CEA">
        <w:rPr>
          <w:rFonts w:cs="Arial"/>
          <w:szCs w:val="24"/>
        </w:rPr>
        <w:t xml:space="preserve"> they will be on a temporary (less than) 12 month basis unless the Chief Executive determines that there are exceptional circumstances that justify the offer of a permanent position.</w:t>
      </w:r>
    </w:p>
    <w:p w14:paraId="72A07A02" w14:textId="77777777" w:rsidR="00240B0C" w:rsidRPr="00A05CEA" w:rsidRDefault="00240B0C" w:rsidP="00D9180A">
      <w:pPr>
        <w:ind w:left="851" w:right="283" w:hanging="218"/>
        <w:rPr>
          <w:rFonts w:cs="Arial"/>
          <w:szCs w:val="24"/>
        </w:rPr>
      </w:pPr>
    </w:p>
    <w:p w14:paraId="11758D2D" w14:textId="77777777" w:rsidR="00240B0C" w:rsidRPr="00A05CEA" w:rsidRDefault="00240B0C" w:rsidP="00D32888">
      <w:pPr>
        <w:numPr>
          <w:ilvl w:val="0"/>
          <w:numId w:val="23"/>
        </w:numPr>
        <w:ind w:left="851" w:right="283" w:hanging="218"/>
        <w:rPr>
          <w:rFonts w:cs="Arial"/>
          <w:szCs w:val="24"/>
        </w:rPr>
      </w:pPr>
      <w:r w:rsidRPr="00A05CEA">
        <w:rPr>
          <w:rFonts w:cs="Arial"/>
          <w:szCs w:val="24"/>
        </w:rPr>
        <w:t xml:space="preserve">New employees will be employed for a temporary period of less than 12 months. At the end of the temporary contract the post should be filled with an existing permanent employee or frozen.  Extensions of employment for a new employee in any job, beyond 12 months will not be permitted, without the approval of the Chief Executive. </w:t>
      </w:r>
    </w:p>
    <w:p w14:paraId="65B5A0EE" w14:textId="77777777" w:rsidR="00240B0C" w:rsidRDefault="00240B0C" w:rsidP="00D9180A">
      <w:pPr>
        <w:ind w:left="851" w:right="283"/>
        <w:rPr>
          <w:rFonts w:cs="Arial"/>
          <w:szCs w:val="24"/>
        </w:rPr>
      </w:pPr>
    </w:p>
    <w:p w14:paraId="03EBC366" w14:textId="77777777" w:rsidR="00D9180A" w:rsidRPr="00A05CEA" w:rsidRDefault="00D9180A" w:rsidP="00D9180A">
      <w:pPr>
        <w:ind w:left="851" w:right="283"/>
        <w:rPr>
          <w:rFonts w:cs="Arial"/>
          <w:szCs w:val="24"/>
        </w:rPr>
      </w:pPr>
    </w:p>
    <w:p w14:paraId="06B3D9FA" w14:textId="77777777" w:rsidR="00240B0C" w:rsidRDefault="00240B0C" w:rsidP="00D9180A">
      <w:pPr>
        <w:pStyle w:val="Heading1"/>
        <w:ind w:left="567" w:right="283"/>
        <w:rPr>
          <w:rFonts w:cs="Arial"/>
          <w:szCs w:val="24"/>
        </w:rPr>
      </w:pPr>
      <w:bookmarkStart w:id="3" w:name="_Toc281480744"/>
      <w:r w:rsidRPr="00A05CEA">
        <w:rPr>
          <w:rFonts w:cs="Arial"/>
          <w:szCs w:val="24"/>
        </w:rPr>
        <w:t>4.  Identification of Posts ‘at risk’</w:t>
      </w:r>
      <w:bookmarkEnd w:id="3"/>
    </w:p>
    <w:p w14:paraId="3CBE0EF5" w14:textId="77777777" w:rsidR="00D9180A" w:rsidRPr="00D9180A" w:rsidRDefault="00D9180A" w:rsidP="00D9180A"/>
    <w:p w14:paraId="62509D40" w14:textId="6457847F" w:rsidR="00240B0C" w:rsidRPr="00A05CEA" w:rsidRDefault="00240B0C" w:rsidP="00D9180A">
      <w:pPr>
        <w:ind w:left="851" w:right="283"/>
        <w:rPr>
          <w:rFonts w:cs="Arial"/>
          <w:szCs w:val="24"/>
        </w:rPr>
      </w:pPr>
      <w:r w:rsidRPr="00A05CEA">
        <w:rPr>
          <w:rFonts w:cs="Arial"/>
          <w:szCs w:val="24"/>
        </w:rPr>
        <w:t xml:space="preserve">To facilitate the filling of vacancies by existing employees it is necessary to be clear where there are likely to be reduced services and/or efficiencies which ultimately will mean a reduced number of posts.  </w:t>
      </w:r>
    </w:p>
    <w:p w14:paraId="49AD8EB2" w14:textId="77777777" w:rsidR="00240B0C" w:rsidRPr="00A05CEA" w:rsidRDefault="00240B0C" w:rsidP="00D9180A">
      <w:pPr>
        <w:ind w:left="851" w:right="283"/>
        <w:rPr>
          <w:rFonts w:cs="Arial"/>
          <w:szCs w:val="24"/>
        </w:rPr>
      </w:pPr>
    </w:p>
    <w:p w14:paraId="22481277" w14:textId="77777777" w:rsidR="00240B0C" w:rsidRPr="00A05CEA" w:rsidRDefault="00240B0C" w:rsidP="00D9180A">
      <w:pPr>
        <w:ind w:left="851" w:right="283"/>
        <w:rPr>
          <w:rFonts w:cs="Arial"/>
          <w:szCs w:val="24"/>
        </w:rPr>
      </w:pPr>
      <w:r w:rsidRPr="00A05CEA">
        <w:rPr>
          <w:rFonts w:cs="Arial"/>
          <w:szCs w:val="24"/>
        </w:rPr>
        <w:t xml:space="preserve">Where it has been identified that a reduction in posts is required, this should be detailed by </w:t>
      </w:r>
      <w:r w:rsidR="00A91F89">
        <w:rPr>
          <w:rFonts w:cs="Arial"/>
          <w:szCs w:val="24"/>
        </w:rPr>
        <w:t>Directors</w:t>
      </w:r>
      <w:r w:rsidRPr="00A05CEA">
        <w:rPr>
          <w:rFonts w:cs="Arial"/>
          <w:szCs w:val="24"/>
        </w:rPr>
        <w:t xml:space="preserve"> in terms of the numbers and types of posts.  Essentially this is a potential redundancy situation. However, the aim of this protocol is to avoid redundancies.  Such situations need to be managed with care and avoiding unnecessary concern.</w:t>
      </w:r>
      <w:r w:rsidRPr="00A05CEA">
        <w:rPr>
          <w:rFonts w:cs="Arial"/>
          <w:color w:val="FF0000"/>
          <w:szCs w:val="24"/>
        </w:rPr>
        <w:t xml:space="preserve"> </w:t>
      </w:r>
    </w:p>
    <w:p w14:paraId="41F923DD" w14:textId="77777777" w:rsidR="00240B0C" w:rsidRPr="00A05CEA" w:rsidRDefault="00240B0C" w:rsidP="00D9180A">
      <w:pPr>
        <w:ind w:left="851" w:right="283"/>
        <w:rPr>
          <w:rFonts w:cs="Arial"/>
          <w:szCs w:val="24"/>
        </w:rPr>
      </w:pPr>
    </w:p>
    <w:p w14:paraId="0DE1BDD0" w14:textId="77777777" w:rsidR="00240B0C" w:rsidRDefault="00240B0C" w:rsidP="00D9180A">
      <w:pPr>
        <w:ind w:left="851" w:right="283"/>
        <w:rPr>
          <w:rFonts w:cs="Arial"/>
          <w:szCs w:val="24"/>
        </w:rPr>
      </w:pPr>
      <w:r w:rsidRPr="00A05CEA">
        <w:rPr>
          <w:rFonts w:cs="Arial"/>
          <w:szCs w:val="24"/>
        </w:rPr>
        <w:t>Once identified, there will be consultation with the affected employees and Trade Unions on the proposed reductions, allowing the employees affected to propose alternatives, for example reduced hours working, career breaks etc.  Since these proposals will be driven by financial constraints, it is unlikely that suggestions of additional work to be carried out, unless income generating will be suitable solutions.</w:t>
      </w:r>
    </w:p>
    <w:p w14:paraId="283B96F3" w14:textId="77777777" w:rsidR="00FA673E" w:rsidRPr="00A05CEA" w:rsidRDefault="00FA673E" w:rsidP="00D9180A">
      <w:pPr>
        <w:ind w:left="851" w:right="283"/>
        <w:rPr>
          <w:rFonts w:cs="Arial"/>
          <w:szCs w:val="24"/>
        </w:rPr>
      </w:pPr>
    </w:p>
    <w:p w14:paraId="111ABF92" w14:textId="77777777" w:rsidR="00240B0C" w:rsidRPr="00A05CEA" w:rsidRDefault="00240B0C" w:rsidP="00D9180A">
      <w:pPr>
        <w:ind w:left="851" w:right="283"/>
        <w:rPr>
          <w:rFonts w:cs="Arial"/>
          <w:szCs w:val="24"/>
        </w:rPr>
      </w:pPr>
      <w:r w:rsidRPr="00A05CEA">
        <w:rPr>
          <w:rFonts w:cs="Arial"/>
          <w:szCs w:val="24"/>
        </w:rPr>
        <w:t>At the conclusion of the consultation on the changes, the appropriate formal decisions will be made to put the changes into effect.  The impact on the individual employee will be managed using the appropriate policies of the Council.</w:t>
      </w:r>
    </w:p>
    <w:p w14:paraId="4A340EF8" w14:textId="77777777" w:rsidR="00240B0C" w:rsidRPr="00A05CEA" w:rsidRDefault="00240B0C" w:rsidP="00D9180A">
      <w:pPr>
        <w:ind w:left="851" w:right="283"/>
        <w:rPr>
          <w:rFonts w:cs="Arial"/>
          <w:szCs w:val="24"/>
        </w:rPr>
      </w:pPr>
    </w:p>
    <w:p w14:paraId="4A2F0C25" w14:textId="77777777" w:rsidR="00240B0C" w:rsidRDefault="00240B0C" w:rsidP="00D9180A">
      <w:pPr>
        <w:pStyle w:val="Heading1"/>
        <w:ind w:left="851" w:right="283"/>
        <w:rPr>
          <w:rFonts w:cs="Arial"/>
          <w:szCs w:val="24"/>
        </w:rPr>
      </w:pPr>
      <w:bookmarkStart w:id="4" w:name="_Toc281480745"/>
      <w:r w:rsidRPr="00A05CEA">
        <w:rPr>
          <w:rFonts w:cs="Arial"/>
          <w:szCs w:val="24"/>
        </w:rPr>
        <w:t>4.1   Same or Lower Graded Redeployments</w:t>
      </w:r>
      <w:bookmarkEnd w:id="4"/>
      <w:r w:rsidRPr="00A05CEA">
        <w:rPr>
          <w:rFonts w:cs="Arial"/>
          <w:szCs w:val="24"/>
        </w:rPr>
        <w:t xml:space="preserve"> </w:t>
      </w:r>
    </w:p>
    <w:p w14:paraId="09F1CF4C" w14:textId="77777777" w:rsidR="00D6098A" w:rsidRPr="00D6098A" w:rsidRDefault="00D6098A" w:rsidP="00D9180A">
      <w:pPr>
        <w:ind w:left="851" w:right="283"/>
      </w:pPr>
    </w:p>
    <w:p w14:paraId="1CAA40A6" w14:textId="77777777" w:rsidR="00240B0C" w:rsidRPr="00A05CEA" w:rsidRDefault="00240B0C" w:rsidP="00CB37B8">
      <w:pPr>
        <w:ind w:left="851" w:right="283"/>
        <w:rPr>
          <w:rFonts w:cs="Arial"/>
          <w:szCs w:val="24"/>
        </w:rPr>
      </w:pPr>
      <w:r w:rsidRPr="00A05CEA">
        <w:rPr>
          <w:rFonts w:cs="Arial"/>
          <w:szCs w:val="24"/>
        </w:rPr>
        <w:t>The people occupying posts that have been identified as at risk will be placed into posts which might be suitable to their skills and knowledge.  Where possible, alternative redeployments may be offered.  These posts will not be advertised across the organisation.  These posts may not be within the professional area of the affected post-holders, but it will be considered that their existing skills and knowledge can be applied to these posts.  The posts offered may be on a lower grade than the post-holders currently occupy.  The Council’s protection policy will apply.</w:t>
      </w:r>
    </w:p>
    <w:p w14:paraId="4A7ECFF5" w14:textId="77777777" w:rsidR="00240B0C" w:rsidRPr="00A05CEA" w:rsidRDefault="00240B0C" w:rsidP="00CB37B8">
      <w:pPr>
        <w:ind w:left="851" w:right="283"/>
        <w:rPr>
          <w:rFonts w:cs="Arial"/>
          <w:szCs w:val="24"/>
        </w:rPr>
      </w:pPr>
    </w:p>
    <w:p w14:paraId="7DFCD7EC" w14:textId="77777777" w:rsidR="00240B0C" w:rsidRPr="00A05CEA" w:rsidRDefault="00240B0C" w:rsidP="00CB37B8">
      <w:pPr>
        <w:ind w:left="851" w:right="283"/>
        <w:rPr>
          <w:rFonts w:cs="Arial"/>
          <w:szCs w:val="24"/>
        </w:rPr>
      </w:pPr>
      <w:r w:rsidRPr="00A05CEA">
        <w:rPr>
          <w:rFonts w:cs="Arial"/>
          <w:szCs w:val="24"/>
        </w:rPr>
        <w:t xml:space="preserve">Where there are a number of people identified in an </w:t>
      </w:r>
      <w:proofErr w:type="gramStart"/>
      <w:r w:rsidRPr="00A05CEA">
        <w:rPr>
          <w:rFonts w:cs="Arial"/>
          <w:szCs w:val="24"/>
        </w:rPr>
        <w:t>at risk</w:t>
      </w:r>
      <w:proofErr w:type="gramEnd"/>
      <w:r w:rsidRPr="00A05CEA">
        <w:rPr>
          <w:rFonts w:cs="Arial"/>
          <w:szCs w:val="24"/>
        </w:rPr>
        <w:t xml:space="preserve"> group, all will be expected to give serious consideration to undertaking the redeployment.  If the available post cannot be filled through voluntary application, then an assessment process will be undertaken to identify the most suitable person.  (This is likely to be </w:t>
      </w:r>
      <w:proofErr w:type="gramStart"/>
      <w:r w:rsidRPr="00A05CEA">
        <w:rPr>
          <w:rFonts w:cs="Arial"/>
          <w:szCs w:val="24"/>
        </w:rPr>
        <w:t>similar to</w:t>
      </w:r>
      <w:proofErr w:type="gramEnd"/>
      <w:r w:rsidRPr="00A05CEA">
        <w:rPr>
          <w:rFonts w:cs="Arial"/>
          <w:szCs w:val="24"/>
        </w:rPr>
        <w:t xml:space="preserve"> the approved protocol for selection into posts following structural review).</w:t>
      </w:r>
    </w:p>
    <w:p w14:paraId="67F4647B" w14:textId="77777777" w:rsidR="00240B0C" w:rsidRPr="00A05CEA" w:rsidRDefault="00240B0C" w:rsidP="00CB37B8">
      <w:pPr>
        <w:ind w:left="851" w:right="283"/>
        <w:rPr>
          <w:rFonts w:cs="Arial"/>
          <w:szCs w:val="24"/>
        </w:rPr>
      </w:pPr>
    </w:p>
    <w:p w14:paraId="25BFA451" w14:textId="77777777" w:rsidR="00240B0C" w:rsidRPr="00A05CEA" w:rsidRDefault="00240B0C" w:rsidP="00CB37B8">
      <w:pPr>
        <w:ind w:left="851" w:right="283"/>
        <w:rPr>
          <w:rFonts w:cs="Arial"/>
          <w:szCs w:val="24"/>
        </w:rPr>
      </w:pPr>
      <w:r w:rsidRPr="00A05CEA">
        <w:rPr>
          <w:rFonts w:cs="Arial"/>
          <w:szCs w:val="24"/>
        </w:rPr>
        <w:t xml:space="preserve">If for any reason it is not appropriate to assess employees ‘at risk’ for redeployment, then a selection for redundancy exercise will be undertaken using criteria determined in consultation with the Trade Unions, and the Council’s redundancy and redeployment policy will be followed.  This will lead to identification of redeployment opportunities and employees are required within the context of national employment law, to consider all reasonable offers of redeployment. </w:t>
      </w:r>
    </w:p>
    <w:p w14:paraId="440F84E7" w14:textId="77777777" w:rsidR="00240B0C" w:rsidRPr="00A05CEA" w:rsidRDefault="00240B0C" w:rsidP="00D9180A">
      <w:pPr>
        <w:ind w:left="851" w:right="283"/>
        <w:rPr>
          <w:rFonts w:cs="Arial"/>
          <w:szCs w:val="24"/>
        </w:rPr>
      </w:pPr>
    </w:p>
    <w:p w14:paraId="226A64B7" w14:textId="77777777" w:rsidR="00240B0C" w:rsidRPr="00A05CEA" w:rsidRDefault="00240B0C" w:rsidP="00D9180A">
      <w:pPr>
        <w:ind w:left="851" w:right="283"/>
        <w:rPr>
          <w:rFonts w:cs="Arial"/>
          <w:b/>
          <w:szCs w:val="24"/>
        </w:rPr>
      </w:pPr>
      <w:r w:rsidRPr="00A05CEA">
        <w:rPr>
          <w:rFonts w:cs="Arial"/>
          <w:b/>
          <w:szCs w:val="24"/>
        </w:rPr>
        <w:t>5.   Secondments</w:t>
      </w:r>
    </w:p>
    <w:p w14:paraId="66A68F4E" w14:textId="77777777" w:rsidR="00240B0C" w:rsidRPr="00A05CEA" w:rsidRDefault="00240B0C" w:rsidP="00D9180A">
      <w:pPr>
        <w:ind w:left="851" w:right="283"/>
        <w:rPr>
          <w:rFonts w:cs="Arial"/>
          <w:szCs w:val="24"/>
          <w:u w:val="single"/>
        </w:rPr>
      </w:pPr>
    </w:p>
    <w:p w14:paraId="1ED48079" w14:textId="77777777" w:rsidR="00240B0C" w:rsidRPr="00A05CEA" w:rsidRDefault="00240B0C" w:rsidP="00CB37B8">
      <w:pPr>
        <w:ind w:left="851" w:right="283"/>
        <w:rPr>
          <w:rFonts w:cs="Arial"/>
          <w:szCs w:val="24"/>
        </w:rPr>
      </w:pPr>
      <w:r w:rsidRPr="00A05CEA">
        <w:rPr>
          <w:rFonts w:cs="Arial"/>
          <w:szCs w:val="24"/>
        </w:rPr>
        <w:t xml:space="preserve">In some </w:t>
      </w:r>
      <w:proofErr w:type="gramStart"/>
      <w:r w:rsidRPr="00A05CEA">
        <w:rPr>
          <w:rFonts w:cs="Arial"/>
          <w:szCs w:val="24"/>
        </w:rPr>
        <w:t>situations</w:t>
      </w:r>
      <w:proofErr w:type="gramEnd"/>
      <w:r w:rsidRPr="00A05CEA">
        <w:rPr>
          <w:rFonts w:cs="Arial"/>
          <w:szCs w:val="24"/>
        </w:rPr>
        <w:t xml:space="preserve"> the full definition of a redundancy situation may not apply – as described above.  An opportunity may present itself within a team for a </w:t>
      </w:r>
      <w:proofErr w:type="gramStart"/>
      <w:r w:rsidRPr="00A05CEA">
        <w:rPr>
          <w:rFonts w:cs="Arial"/>
          <w:szCs w:val="24"/>
        </w:rPr>
        <w:t>short term</w:t>
      </w:r>
      <w:proofErr w:type="gramEnd"/>
      <w:r w:rsidRPr="00A05CEA">
        <w:rPr>
          <w:rFonts w:cs="Arial"/>
          <w:szCs w:val="24"/>
        </w:rPr>
        <w:t xml:space="preserve"> reduction in staffing requirements and therefore a requirement to place employees into temporary arrangements.  Equally there may be vacancies within the organisation that are critical to </w:t>
      </w:r>
      <w:proofErr w:type="gramStart"/>
      <w:r w:rsidRPr="00A05CEA">
        <w:rPr>
          <w:rFonts w:cs="Arial"/>
          <w:szCs w:val="24"/>
        </w:rPr>
        <w:t>fill</w:t>
      </w:r>
      <w:proofErr w:type="gramEnd"/>
      <w:r w:rsidRPr="00A05CEA">
        <w:rPr>
          <w:rFonts w:cs="Arial"/>
          <w:szCs w:val="24"/>
        </w:rPr>
        <w:t xml:space="preserve"> and it is desirable that this is done internally, but not necessarily on a permanent basis.</w:t>
      </w:r>
    </w:p>
    <w:p w14:paraId="59517354" w14:textId="77777777" w:rsidR="00240B0C" w:rsidRPr="00A05CEA" w:rsidRDefault="00240B0C" w:rsidP="00CB37B8">
      <w:pPr>
        <w:ind w:left="851" w:right="283"/>
        <w:rPr>
          <w:rFonts w:cs="Arial"/>
          <w:szCs w:val="24"/>
        </w:rPr>
      </w:pPr>
    </w:p>
    <w:p w14:paraId="24C24166" w14:textId="77777777" w:rsidR="00240B0C" w:rsidRPr="00A05CEA" w:rsidRDefault="00240B0C" w:rsidP="00CB37B8">
      <w:pPr>
        <w:ind w:left="851" w:right="283"/>
        <w:rPr>
          <w:rFonts w:cs="Arial"/>
          <w:szCs w:val="24"/>
        </w:rPr>
      </w:pPr>
      <w:r w:rsidRPr="00A05CEA">
        <w:rPr>
          <w:rFonts w:cs="Arial"/>
          <w:szCs w:val="24"/>
        </w:rPr>
        <w:t>It is also possible that vacant posts could be filled internally on a temporary basis by employees moving from lower priority service areas giving rise to savings.  Such situations will be dealt with by a secondment arrangement.</w:t>
      </w:r>
    </w:p>
    <w:p w14:paraId="4B539E67" w14:textId="77777777" w:rsidR="00240B0C" w:rsidRPr="00A05CEA" w:rsidRDefault="00240B0C" w:rsidP="00CB37B8">
      <w:pPr>
        <w:ind w:left="851" w:right="283"/>
        <w:rPr>
          <w:rFonts w:cs="Arial"/>
          <w:szCs w:val="24"/>
        </w:rPr>
      </w:pPr>
    </w:p>
    <w:p w14:paraId="61F09FAC" w14:textId="77777777" w:rsidR="00240B0C" w:rsidRPr="00A05CEA" w:rsidRDefault="00240B0C" w:rsidP="00CB37B8">
      <w:pPr>
        <w:ind w:left="851" w:right="283"/>
        <w:rPr>
          <w:rFonts w:cs="Arial"/>
          <w:szCs w:val="24"/>
        </w:rPr>
      </w:pPr>
      <w:r w:rsidRPr="00A05CEA">
        <w:rPr>
          <w:rFonts w:cs="Arial"/>
          <w:szCs w:val="24"/>
        </w:rPr>
        <w:t>Secondments agreed in this way will only be temporary arrangements, the employee who undertakes the secondment post will be entitled to return to their substantive post either at the end of a fixed term arrangement or when the need for the post becomes sustainable again, or another post becomes vacant for which they wish to be considered for redeployment.</w:t>
      </w:r>
    </w:p>
    <w:p w14:paraId="672A638C" w14:textId="77777777" w:rsidR="00240B0C" w:rsidRPr="00A05CEA" w:rsidRDefault="00240B0C" w:rsidP="00CB37B8">
      <w:pPr>
        <w:pStyle w:val="ListParagraph"/>
        <w:ind w:left="851" w:right="283"/>
      </w:pPr>
    </w:p>
    <w:p w14:paraId="6039D86F" w14:textId="77777777" w:rsidR="00240B0C" w:rsidRPr="00A05CEA" w:rsidRDefault="00240B0C" w:rsidP="00CB37B8">
      <w:pPr>
        <w:ind w:left="851" w:right="283"/>
        <w:rPr>
          <w:rFonts w:cs="Arial"/>
          <w:szCs w:val="24"/>
        </w:rPr>
      </w:pPr>
      <w:r w:rsidRPr="00A05CEA">
        <w:rPr>
          <w:rFonts w:cs="Arial"/>
          <w:szCs w:val="24"/>
        </w:rPr>
        <w:t>If during the period of secondment, the individual’s substantive post is identified for deletion, the individual will be treated as a redeployee, and the protocol described in Section 4 above will apply.</w:t>
      </w:r>
    </w:p>
    <w:p w14:paraId="26310DB7" w14:textId="77777777" w:rsidR="00240B0C" w:rsidRPr="00A05CEA" w:rsidRDefault="00240B0C" w:rsidP="00CB37B8">
      <w:pPr>
        <w:ind w:left="851" w:right="283"/>
        <w:rPr>
          <w:rFonts w:cs="Arial"/>
          <w:szCs w:val="24"/>
        </w:rPr>
      </w:pPr>
    </w:p>
    <w:p w14:paraId="42E7F4D4" w14:textId="77777777" w:rsidR="00240B0C" w:rsidRPr="00A05CEA" w:rsidRDefault="00240B0C" w:rsidP="00CB37B8">
      <w:pPr>
        <w:ind w:left="851" w:right="283"/>
        <w:rPr>
          <w:rFonts w:cs="Arial"/>
          <w:szCs w:val="24"/>
        </w:rPr>
      </w:pPr>
      <w:r w:rsidRPr="00A05CEA">
        <w:rPr>
          <w:rFonts w:cs="Arial"/>
          <w:szCs w:val="24"/>
        </w:rPr>
        <w:t>Before a post is released for secondment/redeployment, there will be a review of the requirements of the post, to enable successful appointment from employees who might otherwise have not met the minimum criteria.  This may lead to a review of the post grade to ensure that the substantive grade of the post fully reflects the duties being carried out.  If this situation arises, the grading of the post will be reviewed through the job evaluation scheme in consultation with the Trade Unions.</w:t>
      </w:r>
    </w:p>
    <w:p w14:paraId="57A85091" w14:textId="77777777" w:rsidR="00240B0C" w:rsidRPr="00A05CEA" w:rsidRDefault="00240B0C" w:rsidP="00CB37B8">
      <w:pPr>
        <w:ind w:left="851" w:right="283"/>
        <w:rPr>
          <w:rFonts w:cs="Arial"/>
          <w:szCs w:val="24"/>
        </w:rPr>
      </w:pPr>
    </w:p>
    <w:p w14:paraId="6F27A590" w14:textId="77777777" w:rsidR="00240B0C" w:rsidRPr="00A05CEA" w:rsidRDefault="00240B0C" w:rsidP="00CB37B8">
      <w:pPr>
        <w:ind w:left="851" w:right="283"/>
        <w:rPr>
          <w:rFonts w:cs="Arial"/>
          <w:szCs w:val="24"/>
        </w:rPr>
      </w:pPr>
      <w:r w:rsidRPr="00A05CEA">
        <w:rPr>
          <w:rFonts w:cs="Arial"/>
          <w:szCs w:val="24"/>
        </w:rPr>
        <w:t>The protocol in such situations is as follows:</w:t>
      </w:r>
    </w:p>
    <w:p w14:paraId="5F076BD0" w14:textId="77777777" w:rsidR="00240B0C" w:rsidRPr="00A05CEA" w:rsidRDefault="00240B0C" w:rsidP="00D9180A">
      <w:pPr>
        <w:ind w:left="851" w:right="283"/>
        <w:rPr>
          <w:rFonts w:cs="Arial"/>
          <w:szCs w:val="24"/>
        </w:rPr>
      </w:pPr>
    </w:p>
    <w:p w14:paraId="3ABFF6FC" w14:textId="77777777" w:rsidR="00240B0C" w:rsidRPr="00A05CEA" w:rsidRDefault="00240B0C" w:rsidP="00D9180A">
      <w:pPr>
        <w:pStyle w:val="Heading1"/>
        <w:ind w:left="851" w:right="283"/>
        <w:rPr>
          <w:rFonts w:cs="Arial"/>
          <w:szCs w:val="24"/>
        </w:rPr>
      </w:pPr>
      <w:bookmarkStart w:id="5" w:name="_Toc281480746"/>
      <w:proofErr w:type="gramStart"/>
      <w:r w:rsidRPr="00A05CEA">
        <w:rPr>
          <w:rFonts w:cs="Arial"/>
          <w:szCs w:val="24"/>
        </w:rPr>
        <w:t>5.1  Same</w:t>
      </w:r>
      <w:proofErr w:type="gramEnd"/>
      <w:r w:rsidRPr="00A05CEA">
        <w:rPr>
          <w:rFonts w:cs="Arial"/>
          <w:szCs w:val="24"/>
        </w:rPr>
        <w:t xml:space="preserve"> or lower Grade Secondments Identified</w:t>
      </w:r>
      <w:bookmarkEnd w:id="5"/>
    </w:p>
    <w:p w14:paraId="7172F504" w14:textId="77777777" w:rsidR="00240B0C" w:rsidRPr="00A05CEA" w:rsidRDefault="00240B0C" w:rsidP="00D9180A">
      <w:pPr>
        <w:ind w:left="851" w:right="283"/>
        <w:rPr>
          <w:rFonts w:cs="Arial"/>
          <w:szCs w:val="24"/>
        </w:rPr>
      </w:pPr>
    </w:p>
    <w:p w14:paraId="622E81A1" w14:textId="77777777" w:rsidR="00240B0C" w:rsidRPr="00A05CEA" w:rsidRDefault="00240B0C" w:rsidP="00CB37B8">
      <w:pPr>
        <w:ind w:left="851" w:right="283"/>
        <w:rPr>
          <w:rFonts w:cs="Arial"/>
          <w:szCs w:val="24"/>
        </w:rPr>
      </w:pPr>
      <w:r w:rsidRPr="00A05CEA">
        <w:rPr>
          <w:rFonts w:cs="Arial"/>
          <w:szCs w:val="24"/>
        </w:rPr>
        <w:t>The protocol for placing people into same or lower graded secondments will be as above for posts at risk.</w:t>
      </w:r>
    </w:p>
    <w:p w14:paraId="2D2FDBF9" w14:textId="77777777" w:rsidR="00240B0C" w:rsidRPr="00A05CEA" w:rsidRDefault="00240B0C" w:rsidP="00D9180A">
      <w:pPr>
        <w:ind w:left="851" w:right="283"/>
        <w:rPr>
          <w:rFonts w:cs="Arial"/>
          <w:szCs w:val="24"/>
        </w:rPr>
      </w:pPr>
    </w:p>
    <w:p w14:paraId="2016BB2C" w14:textId="77777777" w:rsidR="00240B0C" w:rsidRPr="00A05CEA" w:rsidRDefault="00240B0C" w:rsidP="00D9180A">
      <w:pPr>
        <w:ind w:left="851" w:right="283"/>
        <w:rPr>
          <w:rFonts w:cs="Arial"/>
          <w:b/>
          <w:szCs w:val="24"/>
        </w:rPr>
      </w:pPr>
      <w:r w:rsidRPr="00A05CEA">
        <w:rPr>
          <w:rFonts w:cs="Arial"/>
          <w:b/>
          <w:szCs w:val="24"/>
        </w:rPr>
        <w:t>6.  Higher Graded Secondment or Redeployment Identified</w:t>
      </w:r>
    </w:p>
    <w:p w14:paraId="2317470D" w14:textId="77777777" w:rsidR="00240B0C" w:rsidRPr="00A05CEA" w:rsidRDefault="00240B0C" w:rsidP="00D9180A">
      <w:pPr>
        <w:ind w:left="851" w:right="283"/>
        <w:rPr>
          <w:rFonts w:cs="Arial"/>
          <w:szCs w:val="24"/>
          <w:u w:val="single"/>
        </w:rPr>
      </w:pPr>
    </w:p>
    <w:p w14:paraId="4F0D7CD0" w14:textId="77777777" w:rsidR="00240B0C" w:rsidRPr="00A05CEA" w:rsidRDefault="00240B0C" w:rsidP="00CB37B8">
      <w:pPr>
        <w:ind w:left="851" w:right="283"/>
        <w:rPr>
          <w:rFonts w:cs="Arial"/>
          <w:szCs w:val="24"/>
        </w:rPr>
      </w:pPr>
      <w:r w:rsidRPr="00A05CEA">
        <w:rPr>
          <w:rFonts w:cs="Arial"/>
          <w:szCs w:val="24"/>
        </w:rPr>
        <w:t xml:space="preserve">Where a secondment or redeployment post is identified at a higher grade than people requiring redeployment then there will be an internal advertisement for the post.  This will enable all employees to be considered for this post – and may result in the person(s) at risk not being successful.  </w:t>
      </w:r>
      <w:proofErr w:type="gramStart"/>
      <w:r w:rsidRPr="00A05CEA">
        <w:rPr>
          <w:rFonts w:cs="Arial"/>
          <w:szCs w:val="24"/>
        </w:rPr>
        <w:t>However</w:t>
      </w:r>
      <w:proofErr w:type="gramEnd"/>
      <w:r w:rsidRPr="00A05CEA">
        <w:rPr>
          <w:rFonts w:cs="Arial"/>
          <w:szCs w:val="24"/>
        </w:rPr>
        <w:t xml:space="preserve"> it will release another post within the organisation that may then be available for the secondee/redeployee.</w:t>
      </w:r>
    </w:p>
    <w:p w14:paraId="537A0F27" w14:textId="77777777" w:rsidR="00240B0C" w:rsidRPr="00A05CEA" w:rsidRDefault="00240B0C" w:rsidP="00CB37B8">
      <w:pPr>
        <w:ind w:left="851" w:right="283"/>
        <w:rPr>
          <w:rFonts w:cs="Arial"/>
          <w:szCs w:val="24"/>
        </w:rPr>
      </w:pPr>
    </w:p>
    <w:p w14:paraId="0CA431F9" w14:textId="77777777" w:rsidR="00240B0C" w:rsidRPr="00A05CEA" w:rsidRDefault="00240B0C" w:rsidP="00CB37B8">
      <w:pPr>
        <w:ind w:left="851" w:right="283"/>
        <w:rPr>
          <w:rFonts w:cs="Arial"/>
          <w:szCs w:val="24"/>
        </w:rPr>
      </w:pPr>
      <w:r w:rsidRPr="00A05CEA">
        <w:rPr>
          <w:rFonts w:cs="Arial"/>
          <w:szCs w:val="24"/>
        </w:rPr>
        <w:t xml:space="preserve">If the higher graded post is within the contained professional area where there is an identified </w:t>
      </w:r>
      <w:proofErr w:type="gramStart"/>
      <w:r w:rsidRPr="00A05CEA">
        <w:rPr>
          <w:rFonts w:cs="Arial"/>
          <w:szCs w:val="24"/>
        </w:rPr>
        <w:t>reduction</w:t>
      </w:r>
      <w:proofErr w:type="gramEnd"/>
      <w:r w:rsidRPr="00A05CEA">
        <w:rPr>
          <w:rFonts w:cs="Arial"/>
          <w:szCs w:val="24"/>
        </w:rPr>
        <w:t xml:space="preserve"> then the applicants can be restricted to the group of employees ‘at risk’.  Appointment to the post will be on merit.</w:t>
      </w:r>
    </w:p>
    <w:p w14:paraId="121DD907" w14:textId="77777777" w:rsidR="00240B0C" w:rsidRPr="00A05CEA" w:rsidRDefault="00240B0C" w:rsidP="00CB37B8">
      <w:pPr>
        <w:pStyle w:val="ListParagraph"/>
        <w:ind w:left="851" w:right="283"/>
      </w:pPr>
    </w:p>
    <w:p w14:paraId="1E1BA488" w14:textId="77777777" w:rsidR="00240B0C" w:rsidRPr="00A05CEA" w:rsidRDefault="00240B0C" w:rsidP="00CB37B8">
      <w:pPr>
        <w:ind w:left="851" w:right="283"/>
        <w:rPr>
          <w:rFonts w:cs="Arial"/>
          <w:szCs w:val="24"/>
        </w:rPr>
      </w:pPr>
      <w:r w:rsidRPr="00A05CEA">
        <w:rPr>
          <w:rFonts w:cs="Arial"/>
          <w:szCs w:val="24"/>
        </w:rPr>
        <w:t>Redeployment at a higher grade may be a temporary or permanent arrangement depending on the circumstances.  If the arrangement is temporary, at the end the individual is placed back into being ‘at risk’ and this protocol will continue to apply.</w:t>
      </w:r>
    </w:p>
    <w:p w14:paraId="2583B7B8" w14:textId="77777777" w:rsidR="00240B0C" w:rsidRPr="00A05CEA" w:rsidRDefault="00240B0C" w:rsidP="00CB37B8">
      <w:pPr>
        <w:ind w:left="851" w:right="283"/>
        <w:rPr>
          <w:rFonts w:cs="Arial"/>
          <w:szCs w:val="24"/>
        </w:rPr>
      </w:pPr>
      <w:r w:rsidRPr="00A05CEA">
        <w:rPr>
          <w:rFonts w:cs="Arial"/>
          <w:szCs w:val="24"/>
        </w:rPr>
        <w:t xml:space="preserve"> </w:t>
      </w:r>
    </w:p>
    <w:p w14:paraId="492BDE2B" w14:textId="77777777" w:rsidR="00240B0C" w:rsidRPr="00A05CEA" w:rsidRDefault="00240B0C" w:rsidP="00CB37B8">
      <w:pPr>
        <w:ind w:left="851" w:right="283"/>
        <w:rPr>
          <w:rFonts w:cs="Arial"/>
          <w:szCs w:val="24"/>
        </w:rPr>
      </w:pPr>
      <w:r w:rsidRPr="00A05CEA">
        <w:rPr>
          <w:rFonts w:cs="Arial"/>
          <w:szCs w:val="24"/>
        </w:rPr>
        <w:t xml:space="preserve">If no suitable secondee/redeployee is identified, then the process for vacancy management Section 3 above will be followed. </w:t>
      </w:r>
    </w:p>
    <w:p w14:paraId="32F6E6AC" w14:textId="77777777" w:rsidR="00240B0C" w:rsidRPr="00A05CEA" w:rsidRDefault="00240B0C" w:rsidP="00D9180A">
      <w:pPr>
        <w:ind w:left="851" w:right="283"/>
        <w:rPr>
          <w:rFonts w:cs="Arial"/>
          <w:szCs w:val="24"/>
        </w:rPr>
      </w:pPr>
    </w:p>
    <w:p w14:paraId="44FC2029" w14:textId="77777777" w:rsidR="00240B0C" w:rsidRPr="00A05CEA" w:rsidRDefault="00240B0C" w:rsidP="00D9180A">
      <w:pPr>
        <w:pStyle w:val="Heading1"/>
        <w:ind w:left="851" w:right="283"/>
        <w:rPr>
          <w:rFonts w:cs="Arial"/>
          <w:szCs w:val="24"/>
        </w:rPr>
      </w:pPr>
      <w:bookmarkStart w:id="6" w:name="_Toc281480747"/>
      <w:r w:rsidRPr="00A05CEA">
        <w:rPr>
          <w:rFonts w:cs="Arial"/>
          <w:szCs w:val="24"/>
        </w:rPr>
        <w:t>7.  Equality and Diversity Implications</w:t>
      </w:r>
      <w:bookmarkEnd w:id="6"/>
    </w:p>
    <w:p w14:paraId="176AB045" w14:textId="77777777" w:rsidR="00240B0C" w:rsidRPr="00A05CEA" w:rsidRDefault="00240B0C" w:rsidP="00D9180A">
      <w:pPr>
        <w:ind w:left="851" w:right="283"/>
        <w:rPr>
          <w:rFonts w:cs="Arial"/>
          <w:szCs w:val="24"/>
          <w:u w:val="single"/>
        </w:rPr>
      </w:pPr>
    </w:p>
    <w:p w14:paraId="72F905B4" w14:textId="77777777" w:rsidR="00240B0C" w:rsidRPr="00A05CEA" w:rsidRDefault="00240B0C" w:rsidP="00CB37B8">
      <w:pPr>
        <w:ind w:left="851" w:right="283"/>
        <w:rPr>
          <w:rFonts w:cs="Arial"/>
          <w:szCs w:val="24"/>
        </w:rPr>
      </w:pPr>
      <w:r w:rsidRPr="00A05CEA">
        <w:rPr>
          <w:rFonts w:cs="Arial"/>
          <w:szCs w:val="24"/>
        </w:rPr>
        <w:t xml:space="preserve">Using this protocol for dealing with the </w:t>
      </w:r>
      <w:proofErr w:type="gramStart"/>
      <w:r w:rsidRPr="00A05CEA">
        <w:rPr>
          <w:rFonts w:cs="Arial"/>
          <w:szCs w:val="24"/>
        </w:rPr>
        <w:t>medium term</w:t>
      </w:r>
      <w:proofErr w:type="gramEnd"/>
      <w:r w:rsidRPr="00A05CEA">
        <w:rPr>
          <w:rFonts w:cs="Arial"/>
          <w:szCs w:val="24"/>
        </w:rPr>
        <w:t xml:space="preserve"> difficulties can bring potential for conflict with the Council’s commitment to equality and diversity.  In terms of recruitment and employment, the Council has previously advertised all jobs either externally or internally for all employees.  This protocol is a departure from this.  In terms of the workforce profile, it will not help in ensuring that the employees of the Council are representative of the population.  Currently our minority ethnic make-up is below that of the area, and by retaining recruitment internally, there are limited opportunities to address this.</w:t>
      </w:r>
    </w:p>
    <w:p w14:paraId="565CC4E6" w14:textId="77777777" w:rsidR="00240B0C" w:rsidRPr="00A05CEA" w:rsidRDefault="00240B0C" w:rsidP="00CB37B8">
      <w:pPr>
        <w:ind w:left="851" w:right="283"/>
        <w:rPr>
          <w:rFonts w:cs="Arial"/>
          <w:szCs w:val="24"/>
        </w:rPr>
      </w:pPr>
    </w:p>
    <w:p w14:paraId="3FFA84CB" w14:textId="77777777" w:rsidR="00240B0C" w:rsidRPr="00A05CEA" w:rsidRDefault="00240B0C" w:rsidP="00CB37B8">
      <w:pPr>
        <w:ind w:left="851" w:right="283"/>
        <w:rPr>
          <w:rFonts w:cs="Arial"/>
          <w:szCs w:val="24"/>
        </w:rPr>
      </w:pPr>
      <w:r w:rsidRPr="00A05CEA">
        <w:rPr>
          <w:rFonts w:cs="Arial"/>
          <w:szCs w:val="24"/>
        </w:rPr>
        <w:t>However, for maintaining the morale and commitment of existing employees to achieve high performance in difficult times, it is necessary to balance these conflicting demands.  Appointment to any vacancies, particularly where there is an increase in grade will be on merit, and if no internal candidates can meet the criteria, appointments will not be made.  All employees within a group ‘at risk’ or faced with other change will be treated fairly and given equal chance for any secondments or redeployments.</w:t>
      </w:r>
    </w:p>
    <w:p w14:paraId="6F471B23" w14:textId="15E9126A" w:rsidR="00C30664" w:rsidRDefault="00C30664">
      <w:pPr>
        <w:rPr>
          <w:rFonts w:cs="Arial"/>
          <w:b/>
          <w:szCs w:val="24"/>
        </w:rPr>
      </w:pPr>
      <w:r>
        <w:rPr>
          <w:rFonts w:cs="Arial"/>
          <w:b/>
          <w:szCs w:val="24"/>
        </w:rPr>
        <w:br w:type="page"/>
      </w:r>
    </w:p>
    <w:p w14:paraId="29743A5C" w14:textId="77777777" w:rsidR="00C30664" w:rsidRDefault="00C30664" w:rsidP="00D9180A">
      <w:pPr>
        <w:ind w:left="851" w:right="283"/>
        <w:rPr>
          <w:rFonts w:cs="Arial"/>
          <w:b/>
          <w:szCs w:val="24"/>
        </w:rPr>
      </w:pPr>
    </w:p>
    <w:p w14:paraId="62253CF3" w14:textId="787D0574" w:rsidR="00240B0C" w:rsidRPr="00A05CEA" w:rsidRDefault="00240B0C" w:rsidP="00D9180A">
      <w:pPr>
        <w:ind w:left="851" w:right="283"/>
        <w:rPr>
          <w:rFonts w:cs="Arial"/>
          <w:b/>
          <w:szCs w:val="24"/>
        </w:rPr>
      </w:pPr>
      <w:r w:rsidRPr="00A05CEA">
        <w:rPr>
          <w:rFonts w:cs="Arial"/>
          <w:b/>
          <w:szCs w:val="24"/>
        </w:rPr>
        <w:t>8.   Training and Development</w:t>
      </w:r>
    </w:p>
    <w:p w14:paraId="49A01E34" w14:textId="77777777" w:rsidR="00240B0C" w:rsidRPr="00A05CEA" w:rsidRDefault="00240B0C" w:rsidP="00D9180A">
      <w:pPr>
        <w:ind w:left="851" w:right="283"/>
        <w:rPr>
          <w:rFonts w:cs="Arial"/>
          <w:szCs w:val="24"/>
          <w:u w:val="single"/>
        </w:rPr>
      </w:pPr>
    </w:p>
    <w:p w14:paraId="1EB38842" w14:textId="6AEFAAB2" w:rsidR="00240B0C" w:rsidRPr="00A05CEA" w:rsidRDefault="00240B0C" w:rsidP="00CB37B8">
      <w:pPr>
        <w:ind w:left="851" w:right="283"/>
        <w:rPr>
          <w:rFonts w:cs="Arial"/>
          <w:szCs w:val="24"/>
        </w:rPr>
      </w:pPr>
      <w:r w:rsidRPr="00A05CEA">
        <w:rPr>
          <w:rFonts w:cs="Arial"/>
          <w:szCs w:val="24"/>
        </w:rPr>
        <w:t xml:space="preserve">Using this protocol should offer protection to existing </w:t>
      </w:r>
      <w:proofErr w:type="gramStart"/>
      <w:r w:rsidRPr="00A05CEA">
        <w:rPr>
          <w:rFonts w:cs="Arial"/>
          <w:szCs w:val="24"/>
        </w:rPr>
        <w:t>employees, and</w:t>
      </w:r>
      <w:proofErr w:type="gramEnd"/>
      <w:r w:rsidRPr="00A05CEA">
        <w:rPr>
          <w:rFonts w:cs="Arial"/>
          <w:szCs w:val="24"/>
        </w:rPr>
        <w:t xml:space="preserve"> will retain within the organisation valuable skills and expertise.  However</w:t>
      </w:r>
      <w:r w:rsidR="00C30664">
        <w:rPr>
          <w:rFonts w:cs="Arial"/>
          <w:szCs w:val="24"/>
        </w:rPr>
        <w:t>,</w:t>
      </w:r>
      <w:r w:rsidRPr="00A05CEA">
        <w:rPr>
          <w:rFonts w:cs="Arial"/>
          <w:szCs w:val="24"/>
        </w:rPr>
        <w:t xml:space="preserve"> it </w:t>
      </w:r>
      <w:proofErr w:type="gramStart"/>
      <w:r w:rsidRPr="00A05CEA">
        <w:rPr>
          <w:rFonts w:cs="Arial"/>
          <w:szCs w:val="24"/>
        </w:rPr>
        <w:t>has to</w:t>
      </w:r>
      <w:proofErr w:type="gramEnd"/>
      <w:r w:rsidRPr="00A05CEA">
        <w:rPr>
          <w:rFonts w:cs="Arial"/>
          <w:szCs w:val="24"/>
        </w:rPr>
        <w:t xml:space="preserve"> be recognised that whether there is a secondment or a redeployment arrangement it is possible that posts might be filled by employees without relevant training or knowledge. </w:t>
      </w:r>
    </w:p>
    <w:p w14:paraId="687F1DDF" w14:textId="77777777" w:rsidR="00240B0C" w:rsidRPr="00A05CEA" w:rsidRDefault="00240B0C" w:rsidP="00CB37B8">
      <w:pPr>
        <w:ind w:left="851" w:right="283"/>
        <w:rPr>
          <w:rFonts w:cs="Arial"/>
          <w:szCs w:val="24"/>
        </w:rPr>
      </w:pPr>
    </w:p>
    <w:p w14:paraId="6FA9E24E" w14:textId="77777777" w:rsidR="00240B0C" w:rsidRPr="00A05CEA" w:rsidRDefault="00240B0C" w:rsidP="00CB37B8">
      <w:pPr>
        <w:ind w:left="851" w:right="283"/>
        <w:rPr>
          <w:rFonts w:cs="Arial"/>
          <w:szCs w:val="24"/>
        </w:rPr>
      </w:pPr>
      <w:r w:rsidRPr="00A05CEA">
        <w:rPr>
          <w:rFonts w:cs="Arial"/>
          <w:szCs w:val="24"/>
        </w:rPr>
        <w:t xml:space="preserve">In such situations there is a commitment to provide this training to enable the employee to deliver the requirements of the post within a relatively short time (12 - 18 months).  The grade of the post might be adjusted during this training time to reflect this and to ensure equity with comparable post holders. </w:t>
      </w:r>
    </w:p>
    <w:p w14:paraId="635BB28F" w14:textId="77777777" w:rsidR="00240B0C" w:rsidRPr="00A05CEA" w:rsidRDefault="00240B0C" w:rsidP="00CB37B8">
      <w:pPr>
        <w:ind w:left="851" w:right="283"/>
        <w:rPr>
          <w:rFonts w:cs="Arial"/>
          <w:szCs w:val="24"/>
        </w:rPr>
      </w:pPr>
    </w:p>
    <w:p w14:paraId="4FDE0B43" w14:textId="77777777" w:rsidR="00240B0C" w:rsidRPr="00A05CEA" w:rsidRDefault="00240B0C" w:rsidP="00CB37B8">
      <w:pPr>
        <w:ind w:left="851" w:right="283"/>
        <w:rPr>
          <w:rFonts w:cs="Arial"/>
          <w:szCs w:val="24"/>
        </w:rPr>
      </w:pPr>
      <w:r w:rsidRPr="00A05CEA">
        <w:rPr>
          <w:rFonts w:cs="Arial"/>
          <w:szCs w:val="24"/>
        </w:rPr>
        <w:t xml:space="preserve">If an employee at risk expresses a desire to fully retrain to a different professional area, and this requires considerable investment in qualifications etc; this will be considered.  </w:t>
      </w:r>
      <w:proofErr w:type="gramStart"/>
      <w:r w:rsidRPr="00A05CEA">
        <w:rPr>
          <w:rFonts w:cs="Arial"/>
          <w:szCs w:val="24"/>
        </w:rPr>
        <w:t>However</w:t>
      </w:r>
      <w:proofErr w:type="gramEnd"/>
      <w:r w:rsidRPr="00A05CEA">
        <w:rPr>
          <w:rFonts w:cs="Arial"/>
          <w:szCs w:val="24"/>
        </w:rPr>
        <w:t xml:space="preserve"> this can only be agreed to if there is an ongoing demand for that skill, and if there is significant cost to the training (</w:t>
      </w:r>
      <w:proofErr w:type="spellStart"/>
      <w:r w:rsidRPr="00A05CEA">
        <w:rPr>
          <w:rFonts w:cs="Arial"/>
          <w:szCs w:val="24"/>
        </w:rPr>
        <w:t>eg</w:t>
      </w:r>
      <w:proofErr w:type="spellEnd"/>
      <w:r w:rsidRPr="00A05CEA">
        <w:rPr>
          <w:rFonts w:cs="Arial"/>
          <w:szCs w:val="24"/>
        </w:rPr>
        <w:t xml:space="preserve"> a degree) this can be met from existing budgets.  The usual requirements of the PETs scheme will apply.</w:t>
      </w:r>
    </w:p>
    <w:p w14:paraId="1462F816" w14:textId="77777777" w:rsidR="00240B0C" w:rsidRPr="00250196" w:rsidRDefault="00240B0C" w:rsidP="00CB37B8">
      <w:pPr>
        <w:ind w:left="851" w:right="283"/>
        <w:rPr>
          <w:b/>
        </w:rPr>
      </w:pPr>
    </w:p>
    <w:p w14:paraId="33D4294D" w14:textId="77777777" w:rsidR="00240B0C" w:rsidRDefault="00240B0C" w:rsidP="00D9180A">
      <w:pPr>
        <w:pStyle w:val="BodyText"/>
        <w:ind w:left="851" w:right="283"/>
        <w:jc w:val="left"/>
        <w:rPr>
          <w:rFonts w:cs="Arial"/>
          <w:b/>
          <w:bCs/>
        </w:rPr>
      </w:pPr>
    </w:p>
    <w:p w14:paraId="6D41497C" w14:textId="77777777" w:rsidR="00240B0C" w:rsidRDefault="00240B0C" w:rsidP="00D9180A">
      <w:pPr>
        <w:pStyle w:val="BodyText"/>
        <w:ind w:left="851" w:right="283"/>
        <w:jc w:val="left"/>
        <w:rPr>
          <w:rFonts w:cs="Arial"/>
          <w:b/>
          <w:bCs/>
        </w:rPr>
      </w:pPr>
    </w:p>
    <w:p w14:paraId="7CAD0411" w14:textId="77777777" w:rsidR="00240B0C" w:rsidRDefault="00240B0C" w:rsidP="00D9180A">
      <w:pPr>
        <w:pStyle w:val="BodyText"/>
        <w:ind w:left="851" w:right="283"/>
        <w:jc w:val="left"/>
        <w:rPr>
          <w:rFonts w:cs="Arial"/>
          <w:b/>
          <w:bCs/>
        </w:rPr>
      </w:pPr>
    </w:p>
    <w:p w14:paraId="14820148" w14:textId="77777777" w:rsidR="00240B0C" w:rsidRDefault="00240B0C" w:rsidP="00D9180A">
      <w:pPr>
        <w:pStyle w:val="BodyText"/>
        <w:ind w:left="851" w:right="283"/>
        <w:jc w:val="left"/>
        <w:rPr>
          <w:rFonts w:cs="Arial"/>
          <w:b/>
          <w:bCs/>
        </w:rPr>
      </w:pPr>
    </w:p>
    <w:p w14:paraId="5A77D96F" w14:textId="77777777" w:rsidR="00240B0C" w:rsidRDefault="00240B0C" w:rsidP="00D9180A">
      <w:pPr>
        <w:ind w:left="851" w:right="283"/>
        <w:rPr>
          <w:rFonts w:cs="Arial"/>
          <w:bCs/>
        </w:rPr>
      </w:pPr>
      <w:r w:rsidRPr="00A05CEA">
        <w:rPr>
          <w:rFonts w:cs="Arial"/>
          <w:bCs/>
        </w:rPr>
        <w:t>(P&amp;R Committee September 2010</w:t>
      </w:r>
      <w:r w:rsidR="00D9180A">
        <w:rPr>
          <w:rFonts w:cs="Arial"/>
          <w:bCs/>
        </w:rPr>
        <w:t>; minor wording update December 2016</w:t>
      </w:r>
      <w:r w:rsidRPr="00A05CEA">
        <w:rPr>
          <w:rFonts w:cs="Arial"/>
          <w:bCs/>
        </w:rPr>
        <w:t>)</w:t>
      </w:r>
      <w:r>
        <w:rPr>
          <w:rFonts w:cs="Arial"/>
          <w:bCs/>
        </w:rPr>
        <w:t xml:space="preserve">  </w:t>
      </w:r>
    </w:p>
    <w:p w14:paraId="42DD4C98" w14:textId="77777777" w:rsidR="00240B0C" w:rsidRDefault="00240B0C" w:rsidP="00D9180A">
      <w:pPr>
        <w:ind w:left="851" w:right="283"/>
        <w:rPr>
          <w:rFonts w:cs="Arial"/>
          <w:bCs/>
        </w:rPr>
      </w:pPr>
    </w:p>
    <w:p w14:paraId="3ED031D2" w14:textId="77777777" w:rsidR="00240B0C" w:rsidRDefault="00240B0C" w:rsidP="00DB62C7">
      <w:pPr>
        <w:ind w:left="426" w:right="283"/>
        <w:rPr>
          <w:rFonts w:cs="Arial"/>
          <w:bCs/>
        </w:rPr>
      </w:pPr>
    </w:p>
    <w:p w14:paraId="54140D85" w14:textId="77777777" w:rsidR="00911A21" w:rsidRDefault="00F16738" w:rsidP="00DB62C7">
      <w:pPr>
        <w:ind w:left="426" w:right="283"/>
        <w:jc w:val="right"/>
      </w:pPr>
      <w:r>
        <w:br w:type="page"/>
      </w:r>
      <w:r w:rsidR="00BA7DD3">
        <w:t>Appendix iv</w:t>
      </w:r>
    </w:p>
    <w:p w14:paraId="2057850E" w14:textId="77777777" w:rsidR="00911A21" w:rsidRDefault="00911A21" w:rsidP="00DB62C7">
      <w:pPr>
        <w:ind w:left="426" w:right="283"/>
      </w:pPr>
    </w:p>
    <w:p w14:paraId="5898267A" w14:textId="77777777" w:rsidR="00911A21" w:rsidRDefault="00911A21" w:rsidP="00DB62C7">
      <w:pPr>
        <w:ind w:left="426" w:right="283"/>
      </w:pPr>
    </w:p>
    <w:p w14:paraId="6008FF98" w14:textId="77777777" w:rsidR="00911A21" w:rsidRPr="00240B0C" w:rsidRDefault="00911A21" w:rsidP="00CB37B8">
      <w:pPr>
        <w:pStyle w:val="Title"/>
        <w:ind w:left="709" w:right="283"/>
        <w:jc w:val="left"/>
        <w:rPr>
          <w:szCs w:val="28"/>
          <w:u w:val="none"/>
        </w:rPr>
      </w:pPr>
      <w:r>
        <w:rPr>
          <w:szCs w:val="28"/>
          <w:u w:val="none"/>
        </w:rPr>
        <w:t xml:space="preserve">Further guidance </w:t>
      </w:r>
      <w:r w:rsidRPr="00240B0C">
        <w:rPr>
          <w:szCs w:val="28"/>
          <w:u w:val="none"/>
        </w:rPr>
        <w:t xml:space="preserve">for managing changes in posts throughout the </w:t>
      </w:r>
      <w:proofErr w:type="gramStart"/>
      <w:r w:rsidRPr="00240B0C">
        <w:rPr>
          <w:szCs w:val="28"/>
          <w:u w:val="none"/>
        </w:rPr>
        <w:t>council</w:t>
      </w:r>
      <w:proofErr w:type="gramEnd"/>
    </w:p>
    <w:p w14:paraId="54424BED" w14:textId="77777777" w:rsidR="00911A21" w:rsidRDefault="00911A21" w:rsidP="00CB37B8">
      <w:pPr>
        <w:ind w:left="709" w:right="283"/>
      </w:pPr>
    </w:p>
    <w:p w14:paraId="0E67978C" w14:textId="77777777" w:rsidR="00911A21" w:rsidRDefault="00911A21" w:rsidP="00CB37B8">
      <w:pPr>
        <w:ind w:left="709" w:right="283"/>
      </w:pPr>
      <w:r>
        <w:t>Further to the general protocol adopted by the Council to support organisational change, for most structural change further guidance is offered that places the terms of the protocol into a practical context. The text below describes the normal process that will be adopted to bring about structural change.</w:t>
      </w:r>
    </w:p>
    <w:p w14:paraId="372D7E2C" w14:textId="77777777" w:rsidR="00911A21" w:rsidRDefault="00911A21" w:rsidP="00CB37B8">
      <w:pPr>
        <w:ind w:left="709" w:right="283"/>
      </w:pPr>
      <w:r>
        <w:t xml:space="preserve">  </w:t>
      </w:r>
    </w:p>
    <w:p w14:paraId="674E2D2E" w14:textId="77777777" w:rsidR="00911A21" w:rsidRPr="00911A21" w:rsidRDefault="00911A21" w:rsidP="00CB37B8">
      <w:pPr>
        <w:ind w:left="709" w:right="283"/>
      </w:pPr>
      <w:r>
        <w:t>When proposals might</w:t>
      </w:r>
      <w:r w:rsidRPr="00911A21">
        <w:t xml:space="preserve"> lead to</w:t>
      </w:r>
      <w:r>
        <w:t xml:space="preserve"> </w:t>
      </w:r>
      <w:r w:rsidRPr="00911A21">
        <w:t>potential redundancies</w:t>
      </w:r>
      <w:r>
        <w:t>, i</w:t>
      </w:r>
      <w:r w:rsidRPr="00911A21">
        <w:t xml:space="preserve">n order to mitigate against compulsory redundancy </w:t>
      </w:r>
      <w:proofErr w:type="gramStart"/>
      <w:r w:rsidRPr="00911A21">
        <w:t>situations</w:t>
      </w:r>
      <w:proofErr w:type="gramEnd"/>
      <w:r w:rsidRPr="00911A21">
        <w:t xml:space="preserve"> the Council </w:t>
      </w:r>
      <w:r>
        <w:t xml:space="preserve">will use its general protocol (Appendix </w:t>
      </w:r>
      <w:r w:rsidR="00CB37B8">
        <w:t>i</w:t>
      </w:r>
      <w:r>
        <w:t xml:space="preserve">ii) </w:t>
      </w:r>
      <w:r w:rsidRPr="00911A21">
        <w:t xml:space="preserve">to help ensure that, where possible, current employees are not displaced.  </w:t>
      </w:r>
      <w:proofErr w:type="gramStart"/>
      <w:r>
        <w:t>I</w:t>
      </w:r>
      <w:r w:rsidRPr="00911A21">
        <w:t>n particular, new</w:t>
      </w:r>
      <w:proofErr w:type="gramEnd"/>
      <w:r w:rsidRPr="00911A21">
        <w:t xml:space="preserve"> posts created in the proposals will be ring-fenced for competition from potentially displaced employees in the first instance.  Should there be any displaced employees remaining following such a redeployment exercise, any remaining vacancies will then be advertised on an open, internal-only basis </w:t>
      </w:r>
      <w:proofErr w:type="gramStart"/>
      <w:r w:rsidRPr="00911A21">
        <w:t>in order to</w:t>
      </w:r>
      <w:proofErr w:type="gramEnd"/>
      <w:r w:rsidRPr="00911A21">
        <w:t xml:space="preserve"> try to create other suitable vacancies that might be suitable for redeployment.  Throughout these processes, however, there is no guarantee of appointment as applicants will need to demonstrate the necessary skills and competency through the application and selection process.</w:t>
      </w:r>
    </w:p>
    <w:p w14:paraId="3D283DB0" w14:textId="77777777" w:rsidR="00911A21" w:rsidRPr="00911A21" w:rsidRDefault="00911A21" w:rsidP="00CB37B8">
      <w:pPr>
        <w:ind w:left="709" w:right="283"/>
      </w:pPr>
    </w:p>
    <w:p w14:paraId="4BD36C11" w14:textId="77777777" w:rsidR="00911A21" w:rsidRPr="00911A21" w:rsidRDefault="00911A21" w:rsidP="00CB37B8">
      <w:pPr>
        <w:ind w:left="709" w:right="283"/>
      </w:pPr>
      <w:r w:rsidRPr="00911A21">
        <w:t>At the “internal-only” stage, should there be no other internal applicants other than the “at risk” candidates, then these employees would not be re-interviewed at this stage without competition and such vacancies would be put out for external advertisement.  Internal candidates, including those potentially at risk would then again be eligible to apply for these vacancies.</w:t>
      </w:r>
    </w:p>
    <w:p w14:paraId="08E5ADEF" w14:textId="77777777" w:rsidR="00911A21" w:rsidRPr="00911A21" w:rsidRDefault="00911A21" w:rsidP="00CB37B8">
      <w:pPr>
        <w:ind w:left="709" w:right="283"/>
      </w:pPr>
    </w:p>
    <w:p w14:paraId="6E4E508F" w14:textId="77777777" w:rsidR="00911A21" w:rsidRPr="00911A21" w:rsidRDefault="00911A21" w:rsidP="00CB37B8">
      <w:pPr>
        <w:ind w:left="709" w:right="283"/>
      </w:pPr>
      <w:r w:rsidRPr="00911A21">
        <w:t xml:space="preserve">If there are employees that remain unplaced at the conclusion of this exercise, or if there are no posts suitable for redeployment through the above process at the time when an occupied post is deleted from the establishment, then the issue of redundancy notices may be necessary at that point, or earlier in if the council deems it appropriate and necessary </w:t>
      </w:r>
      <w:proofErr w:type="gramStart"/>
      <w:r w:rsidRPr="00911A21">
        <w:t>in order to</w:t>
      </w:r>
      <w:proofErr w:type="gramEnd"/>
      <w:r w:rsidRPr="00911A21">
        <w:t xml:space="preserve"> achieve business objectives. </w:t>
      </w:r>
    </w:p>
    <w:p w14:paraId="4D757AA1" w14:textId="77777777" w:rsidR="00911A21" w:rsidRPr="00911A21" w:rsidRDefault="00911A21" w:rsidP="00CB37B8">
      <w:pPr>
        <w:ind w:left="709" w:right="283"/>
      </w:pPr>
    </w:p>
    <w:p w14:paraId="2EEE55EB" w14:textId="77777777" w:rsidR="00222CE1" w:rsidRDefault="00911A21" w:rsidP="00DB62C7">
      <w:pPr>
        <w:ind w:left="426" w:right="283"/>
        <w:jc w:val="right"/>
      </w:pPr>
      <w:r>
        <w:br w:type="page"/>
      </w:r>
      <w:r w:rsidR="00BA7DD3">
        <w:t xml:space="preserve">Appendix </w:t>
      </w:r>
      <w:r w:rsidR="00222CE1">
        <w:t>v</w:t>
      </w:r>
    </w:p>
    <w:tbl>
      <w:tblPr>
        <w:tblW w:w="7802" w:type="dxa"/>
        <w:tblLayout w:type="fixed"/>
        <w:tblCellMar>
          <w:left w:w="54" w:type="dxa"/>
          <w:right w:w="54" w:type="dxa"/>
        </w:tblCellMar>
        <w:tblLook w:val="0000" w:firstRow="0" w:lastRow="0" w:firstColumn="0" w:lastColumn="0" w:noHBand="0" w:noVBand="0"/>
      </w:tblPr>
      <w:tblGrid>
        <w:gridCol w:w="1442"/>
        <w:gridCol w:w="1442"/>
        <w:gridCol w:w="423"/>
        <w:gridCol w:w="1442"/>
        <w:gridCol w:w="1442"/>
        <w:gridCol w:w="1442"/>
        <w:gridCol w:w="169"/>
      </w:tblGrid>
      <w:tr w:rsidR="003D19FA" w14:paraId="6942DB94" w14:textId="77777777" w:rsidTr="00D6098A">
        <w:trPr>
          <w:trHeight w:val="153"/>
        </w:trPr>
        <w:tc>
          <w:tcPr>
            <w:tcW w:w="1442" w:type="dxa"/>
          </w:tcPr>
          <w:p w14:paraId="0862F3A3" w14:textId="77777777" w:rsidR="003D19FA" w:rsidRDefault="003D19FA" w:rsidP="00DB62C7">
            <w:pPr>
              <w:widowControl w:val="0"/>
              <w:ind w:left="426" w:right="283"/>
              <w:rPr>
                <w:snapToGrid w:val="0"/>
              </w:rPr>
            </w:pPr>
          </w:p>
        </w:tc>
        <w:tc>
          <w:tcPr>
            <w:tcW w:w="1442" w:type="dxa"/>
          </w:tcPr>
          <w:p w14:paraId="572970D5" w14:textId="77777777" w:rsidR="003D19FA" w:rsidRDefault="003D19FA" w:rsidP="00DB62C7">
            <w:pPr>
              <w:widowControl w:val="0"/>
              <w:ind w:left="426" w:right="283"/>
              <w:rPr>
                <w:snapToGrid w:val="0"/>
              </w:rPr>
            </w:pPr>
          </w:p>
        </w:tc>
        <w:tc>
          <w:tcPr>
            <w:tcW w:w="423" w:type="dxa"/>
          </w:tcPr>
          <w:p w14:paraId="6BDA7331" w14:textId="77777777" w:rsidR="003D19FA" w:rsidRDefault="003D19FA" w:rsidP="00DB62C7">
            <w:pPr>
              <w:widowControl w:val="0"/>
              <w:ind w:left="426" w:right="283"/>
              <w:rPr>
                <w:snapToGrid w:val="0"/>
              </w:rPr>
            </w:pPr>
          </w:p>
        </w:tc>
        <w:tc>
          <w:tcPr>
            <w:tcW w:w="1442" w:type="dxa"/>
          </w:tcPr>
          <w:p w14:paraId="36821A82" w14:textId="77777777" w:rsidR="003D19FA" w:rsidRDefault="003D19FA" w:rsidP="00DB62C7">
            <w:pPr>
              <w:widowControl w:val="0"/>
              <w:ind w:left="426" w:right="283"/>
              <w:rPr>
                <w:snapToGrid w:val="0"/>
              </w:rPr>
            </w:pPr>
          </w:p>
        </w:tc>
        <w:tc>
          <w:tcPr>
            <w:tcW w:w="1442" w:type="dxa"/>
          </w:tcPr>
          <w:p w14:paraId="383FC2DF" w14:textId="77777777" w:rsidR="003D19FA" w:rsidRDefault="003D19FA" w:rsidP="00DB62C7">
            <w:pPr>
              <w:widowControl w:val="0"/>
              <w:ind w:left="426" w:right="283"/>
              <w:rPr>
                <w:snapToGrid w:val="0"/>
              </w:rPr>
            </w:pPr>
          </w:p>
        </w:tc>
        <w:tc>
          <w:tcPr>
            <w:tcW w:w="1442" w:type="dxa"/>
          </w:tcPr>
          <w:p w14:paraId="0123B018" w14:textId="77777777" w:rsidR="003D19FA" w:rsidRDefault="003D19FA" w:rsidP="00DB62C7">
            <w:pPr>
              <w:widowControl w:val="0"/>
              <w:ind w:left="426" w:right="283"/>
              <w:rPr>
                <w:snapToGrid w:val="0"/>
              </w:rPr>
            </w:pPr>
          </w:p>
        </w:tc>
        <w:tc>
          <w:tcPr>
            <w:tcW w:w="169" w:type="dxa"/>
          </w:tcPr>
          <w:p w14:paraId="51273C58" w14:textId="77777777" w:rsidR="003D19FA" w:rsidRDefault="003D19FA" w:rsidP="00DB62C7">
            <w:pPr>
              <w:widowControl w:val="0"/>
              <w:ind w:left="426" w:right="283"/>
              <w:rPr>
                <w:snapToGrid w:val="0"/>
              </w:rPr>
            </w:pPr>
          </w:p>
        </w:tc>
      </w:tr>
      <w:tr w:rsidR="00F247C8" w:rsidRPr="000C0940" w14:paraId="0D53155F" w14:textId="77777777" w:rsidTr="00D6098A">
        <w:trPr>
          <w:trHeight w:val="87"/>
        </w:trPr>
        <w:tc>
          <w:tcPr>
            <w:tcW w:w="1442" w:type="dxa"/>
          </w:tcPr>
          <w:p w14:paraId="44EE9961" w14:textId="77777777" w:rsidR="00F247C8" w:rsidRPr="000C0940" w:rsidRDefault="00F247C8" w:rsidP="00DB62C7">
            <w:pPr>
              <w:widowControl w:val="0"/>
              <w:ind w:left="426" w:right="283"/>
              <w:rPr>
                <w:snapToGrid w:val="0"/>
                <w:szCs w:val="24"/>
              </w:rPr>
            </w:pPr>
          </w:p>
        </w:tc>
        <w:tc>
          <w:tcPr>
            <w:tcW w:w="1442" w:type="dxa"/>
          </w:tcPr>
          <w:p w14:paraId="107EE533" w14:textId="77777777" w:rsidR="00F247C8" w:rsidRPr="000C0940" w:rsidRDefault="00F247C8" w:rsidP="00DB62C7">
            <w:pPr>
              <w:widowControl w:val="0"/>
              <w:ind w:left="426" w:right="283"/>
              <w:rPr>
                <w:snapToGrid w:val="0"/>
                <w:szCs w:val="24"/>
              </w:rPr>
            </w:pPr>
          </w:p>
        </w:tc>
        <w:tc>
          <w:tcPr>
            <w:tcW w:w="423" w:type="dxa"/>
          </w:tcPr>
          <w:p w14:paraId="6F2B8986" w14:textId="77777777" w:rsidR="00F247C8" w:rsidRPr="000C0940" w:rsidRDefault="00F247C8" w:rsidP="00DB62C7">
            <w:pPr>
              <w:widowControl w:val="0"/>
              <w:ind w:left="426" w:right="283"/>
              <w:rPr>
                <w:snapToGrid w:val="0"/>
                <w:szCs w:val="24"/>
              </w:rPr>
            </w:pPr>
          </w:p>
        </w:tc>
        <w:tc>
          <w:tcPr>
            <w:tcW w:w="1442" w:type="dxa"/>
          </w:tcPr>
          <w:p w14:paraId="7447DC21" w14:textId="77777777" w:rsidR="00F247C8" w:rsidRPr="000C0940" w:rsidRDefault="00F247C8" w:rsidP="00DB62C7">
            <w:pPr>
              <w:widowControl w:val="0"/>
              <w:ind w:left="426" w:right="283"/>
              <w:rPr>
                <w:snapToGrid w:val="0"/>
                <w:szCs w:val="24"/>
              </w:rPr>
            </w:pPr>
          </w:p>
        </w:tc>
        <w:tc>
          <w:tcPr>
            <w:tcW w:w="1442" w:type="dxa"/>
          </w:tcPr>
          <w:p w14:paraId="03D4C0F9" w14:textId="77777777" w:rsidR="00F247C8" w:rsidRPr="000C0940" w:rsidRDefault="00F247C8" w:rsidP="00DB62C7">
            <w:pPr>
              <w:widowControl w:val="0"/>
              <w:ind w:left="426" w:right="283"/>
              <w:rPr>
                <w:snapToGrid w:val="0"/>
                <w:szCs w:val="24"/>
              </w:rPr>
            </w:pPr>
          </w:p>
        </w:tc>
        <w:tc>
          <w:tcPr>
            <w:tcW w:w="1442" w:type="dxa"/>
          </w:tcPr>
          <w:p w14:paraId="13FBC1FD" w14:textId="77777777" w:rsidR="00F247C8" w:rsidRPr="000C0940" w:rsidRDefault="00F247C8" w:rsidP="00DB62C7">
            <w:pPr>
              <w:widowControl w:val="0"/>
              <w:ind w:left="426" w:right="283"/>
              <w:rPr>
                <w:snapToGrid w:val="0"/>
                <w:szCs w:val="24"/>
              </w:rPr>
            </w:pPr>
          </w:p>
        </w:tc>
        <w:tc>
          <w:tcPr>
            <w:tcW w:w="169" w:type="dxa"/>
          </w:tcPr>
          <w:p w14:paraId="3C4DBCDC" w14:textId="77777777" w:rsidR="00F247C8" w:rsidRPr="000C0940" w:rsidRDefault="00F247C8" w:rsidP="00DB62C7">
            <w:pPr>
              <w:widowControl w:val="0"/>
              <w:ind w:left="426" w:right="283"/>
              <w:rPr>
                <w:snapToGrid w:val="0"/>
                <w:szCs w:val="24"/>
              </w:rPr>
            </w:pPr>
          </w:p>
        </w:tc>
      </w:tr>
    </w:tbl>
    <w:p w14:paraId="4767A1FF" w14:textId="77777777" w:rsidR="000C0940" w:rsidRPr="00240B0C" w:rsidRDefault="000C0940" w:rsidP="00CB37B8">
      <w:pPr>
        <w:pStyle w:val="Heading1"/>
        <w:ind w:left="851" w:right="283"/>
        <w:rPr>
          <w:sz w:val="28"/>
          <w:szCs w:val="28"/>
        </w:rPr>
      </w:pPr>
      <w:bookmarkStart w:id="7" w:name="_Toc240686163"/>
      <w:r w:rsidRPr="00240B0C">
        <w:rPr>
          <w:sz w:val="28"/>
          <w:szCs w:val="28"/>
        </w:rPr>
        <w:t>Procedure for filling temporary vacancies</w:t>
      </w:r>
      <w:bookmarkEnd w:id="7"/>
    </w:p>
    <w:p w14:paraId="6DBE8E39" w14:textId="77777777" w:rsidR="000C0940" w:rsidRPr="000C0940" w:rsidRDefault="000C0940" w:rsidP="00CB37B8">
      <w:pPr>
        <w:pStyle w:val="BodyText"/>
        <w:spacing w:after="0"/>
        <w:ind w:left="851" w:right="283"/>
        <w:rPr>
          <w:sz w:val="24"/>
          <w:szCs w:val="24"/>
        </w:rPr>
      </w:pPr>
      <w:proofErr w:type="gramStart"/>
      <w:r>
        <w:rPr>
          <w:sz w:val="24"/>
          <w:szCs w:val="24"/>
        </w:rPr>
        <w:t>I</w:t>
      </w:r>
      <w:r w:rsidRPr="000C0940">
        <w:rPr>
          <w:sz w:val="24"/>
          <w:szCs w:val="24"/>
        </w:rPr>
        <w:t>n order to</w:t>
      </w:r>
      <w:proofErr w:type="gramEnd"/>
      <w:r w:rsidRPr="000C0940">
        <w:rPr>
          <w:sz w:val="24"/>
          <w:szCs w:val="24"/>
        </w:rPr>
        <w:t xml:space="preserve"> recognise the current business climate as one of change and to help respond to the issues identified in the workforce development plan such as the need for succession planning, the Council will adopt the recruitment practice as follows:</w:t>
      </w:r>
    </w:p>
    <w:p w14:paraId="426311B3" w14:textId="77777777" w:rsidR="000C0940" w:rsidRPr="000C0940" w:rsidRDefault="000C0940" w:rsidP="00CB37B8">
      <w:pPr>
        <w:pStyle w:val="BodyText"/>
        <w:spacing w:after="0"/>
        <w:ind w:left="851" w:right="283"/>
        <w:rPr>
          <w:sz w:val="24"/>
          <w:szCs w:val="24"/>
        </w:rPr>
      </w:pPr>
    </w:p>
    <w:p w14:paraId="6DAAD691" w14:textId="77777777" w:rsidR="000C0940" w:rsidRPr="000C0940" w:rsidRDefault="000C0940" w:rsidP="00CB37B8">
      <w:pPr>
        <w:pStyle w:val="BodyText"/>
        <w:spacing w:after="0"/>
        <w:ind w:left="851" w:right="283"/>
        <w:rPr>
          <w:rFonts w:cs="Arial"/>
          <w:b/>
          <w:sz w:val="24"/>
          <w:szCs w:val="24"/>
        </w:rPr>
      </w:pPr>
      <w:r w:rsidRPr="000C0940">
        <w:rPr>
          <w:rFonts w:cs="Arial"/>
          <w:b/>
          <w:sz w:val="24"/>
          <w:szCs w:val="24"/>
        </w:rPr>
        <w:t>Temporary Recruitment</w:t>
      </w:r>
    </w:p>
    <w:p w14:paraId="4DF67103" w14:textId="77777777" w:rsidR="000C0940" w:rsidRPr="000C0940" w:rsidRDefault="000C0940" w:rsidP="00D32888">
      <w:pPr>
        <w:pStyle w:val="BodyText"/>
        <w:numPr>
          <w:ilvl w:val="0"/>
          <w:numId w:val="20"/>
        </w:numPr>
        <w:tabs>
          <w:tab w:val="clear" w:pos="720"/>
        </w:tabs>
        <w:spacing w:after="0" w:line="240" w:lineRule="auto"/>
        <w:ind w:left="851" w:right="283"/>
        <w:rPr>
          <w:sz w:val="24"/>
          <w:szCs w:val="24"/>
        </w:rPr>
      </w:pPr>
      <w:r w:rsidRPr="000C0940">
        <w:rPr>
          <w:sz w:val="24"/>
          <w:szCs w:val="24"/>
        </w:rPr>
        <w:t xml:space="preserve">For all temporary posts of up to one year, where there is a likely prospect (determined jointly by the </w:t>
      </w:r>
      <w:r w:rsidR="00336F7E">
        <w:rPr>
          <w:sz w:val="24"/>
          <w:szCs w:val="24"/>
        </w:rPr>
        <w:t xml:space="preserve">operational </w:t>
      </w:r>
      <w:r w:rsidR="00EA654F">
        <w:rPr>
          <w:sz w:val="24"/>
          <w:szCs w:val="24"/>
        </w:rPr>
        <w:t>Head of Service</w:t>
      </w:r>
      <w:r w:rsidRPr="000C0940">
        <w:rPr>
          <w:sz w:val="24"/>
          <w:szCs w:val="24"/>
        </w:rPr>
        <w:t xml:space="preserve"> and </w:t>
      </w:r>
      <w:r w:rsidR="00EA654F">
        <w:rPr>
          <w:sz w:val="24"/>
          <w:szCs w:val="24"/>
        </w:rPr>
        <w:t>Head of Service for HR</w:t>
      </w:r>
      <w:r w:rsidRPr="000C0940">
        <w:rPr>
          <w:sz w:val="24"/>
          <w:szCs w:val="24"/>
        </w:rPr>
        <w:t xml:space="preserve">) that the temporary vacancy could be filled with a suitably qualified and experienced, high-calibre internal candidate, then the post will be advertised openly but internally in the first instance.  </w:t>
      </w:r>
    </w:p>
    <w:p w14:paraId="025A4F25" w14:textId="77777777" w:rsidR="000C0940" w:rsidRPr="000C0940" w:rsidRDefault="000C0940" w:rsidP="00CB37B8">
      <w:pPr>
        <w:pStyle w:val="BodyText"/>
        <w:spacing w:after="0"/>
        <w:ind w:left="851" w:right="283"/>
        <w:rPr>
          <w:sz w:val="24"/>
          <w:szCs w:val="24"/>
        </w:rPr>
      </w:pPr>
    </w:p>
    <w:p w14:paraId="5D9AE3C1" w14:textId="77777777" w:rsidR="000C0940" w:rsidRPr="000C0940" w:rsidRDefault="000C0940" w:rsidP="00CB37B8">
      <w:pPr>
        <w:pStyle w:val="BodyText"/>
        <w:spacing w:after="0"/>
        <w:ind w:left="851" w:right="283"/>
        <w:rPr>
          <w:sz w:val="24"/>
          <w:szCs w:val="24"/>
        </w:rPr>
      </w:pPr>
      <w:r w:rsidRPr="000C0940">
        <w:rPr>
          <w:sz w:val="24"/>
          <w:szCs w:val="24"/>
        </w:rPr>
        <w:t xml:space="preserve">Normally, a full recruitment process will apply.  However, there may be occasions where “expressions of interest” are invited through advertisement; the purpose of this is to speed up the process where the vacancy is particularly specialist and only a small number of people may be suitably qualified.  In effect, it is a quick method of testing the internal market.  Where this method is used and there is only one interested person, it will be sufficient to assess their suitability through a “targeted- question” interview; an application form may be unnecessary. If more than one person expresses an interest, all people will be required to complete an application form and a full selection process will be followed.  </w:t>
      </w:r>
    </w:p>
    <w:p w14:paraId="1A204E7E" w14:textId="77777777" w:rsidR="000C0940" w:rsidRPr="000C0940" w:rsidRDefault="000C0940" w:rsidP="00CB37B8">
      <w:pPr>
        <w:pStyle w:val="BodyText"/>
        <w:spacing w:after="0"/>
        <w:ind w:left="851" w:right="283"/>
        <w:rPr>
          <w:sz w:val="24"/>
          <w:szCs w:val="24"/>
        </w:rPr>
      </w:pPr>
    </w:p>
    <w:p w14:paraId="646FE70D" w14:textId="77777777" w:rsidR="000C0940" w:rsidRPr="000C0940" w:rsidRDefault="000C0940" w:rsidP="00D32888">
      <w:pPr>
        <w:pStyle w:val="BodyText"/>
        <w:numPr>
          <w:ilvl w:val="0"/>
          <w:numId w:val="20"/>
        </w:numPr>
        <w:tabs>
          <w:tab w:val="clear" w:pos="720"/>
        </w:tabs>
        <w:spacing w:after="0" w:line="240" w:lineRule="auto"/>
        <w:ind w:left="851" w:right="283"/>
        <w:rPr>
          <w:sz w:val="24"/>
          <w:szCs w:val="24"/>
        </w:rPr>
      </w:pPr>
      <w:r w:rsidRPr="000C0940">
        <w:rPr>
          <w:sz w:val="24"/>
          <w:szCs w:val="24"/>
        </w:rPr>
        <w:t xml:space="preserve">Traineeships of up to a year are excluded from this arrangement to only advertise internally; all such vacancies will be advertised externally. </w:t>
      </w:r>
    </w:p>
    <w:p w14:paraId="33FFCF2A" w14:textId="77777777" w:rsidR="000C0940" w:rsidRPr="000C0940" w:rsidRDefault="000C0940" w:rsidP="00CB37B8">
      <w:pPr>
        <w:pStyle w:val="BodyText"/>
        <w:spacing w:after="0"/>
        <w:ind w:left="851" w:right="283"/>
        <w:rPr>
          <w:sz w:val="24"/>
          <w:szCs w:val="24"/>
        </w:rPr>
      </w:pPr>
    </w:p>
    <w:p w14:paraId="77BB583E" w14:textId="77777777" w:rsidR="000C0940" w:rsidRPr="000C0940" w:rsidRDefault="000C0940" w:rsidP="00D32888">
      <w:pPr>
        <w:pStyle w:val="BodyText"/>
        <w:numPr>
          <w:ilvl w:val="0"/>
          <w:numId w:val="20"/>
        </w:numPr>
        <w:tabs>
          <w:tab w:val="clear" w:pos="720"/>
        </w:tabs>
        <w:spacing w:after="0" w:line="240" w:lineRule="auto"/>
        <w:ind w:left="851" w:right="283"/>
        <w:rPr>
          <w:sz w:val="24"/>
          <w:szCs w:val="24"/>
        </w:rPr>
      </w:pPr>
      <w:r w:rsidRPr="000C0940">
        <w:rPr>
          <w:sz w:val="24"/>
          <w:szCs w:val="24"/>
        </w:rPr>
        <w:t>Where a post becomes permanent after being occupied for a temporary period of any length, the vacancy will be advertised externally</w:t>
      </w:r>
      <w:r w:rsidR="00D06ABF">
        <w:rPr>
          <w:sz w:val="24"/>
          <w:szCs w:val="24"/>
        </w:rPr>
        <w:t xml:space="preserve"> (unless employment rights have been accrued in which case it may be necessary to place the post holder into the permanent post without further process)</w:t>
      </w:r>
      <w:r w:rsidRPr="000C0940">
        <w:rPr>
          <w:sz w:val="24"/>
          <w:szCs w:val="24"/>
        </w:rPr>
        <w:t>.</w:t>
      </w:r>
    </w:p>
    <w:p w14:paraId="6935487E" w14:textId="77777777" w:rsidR="000C0940" w:rsidRPr="000C0940" w:rsidRDefault="000C0940" w:rsidP="00CB37B8">
      <w:pPr>
        <w:pStyle w:val="BodyText"/>
        <w:spacing w:after="0"/>
        <w:ind w:left="851" w:right="283"/>
        <w:rPr>
          <w:sz w:val="24"/>
          <w:szCs w:val="24"/>
        </w:rPr>
      </w:pPr>
    </w:p>
    <w:p w14:paraId="3C2B0149" w14:textId="77777777" w:rsidR="000C0940" w:rsidRPr="000C0940" w:rsidRDefault="000C0940" w:rsidP="00D32888">
      <w:pPr>
        <w:pStyle w:val="BodyText"/>
        <w:numPr>
          <w:ilvl w:val="0"/>
          <w:numId w:val="20"/>
        </w:numPr>
        <w:tabs>
          <w:tab w:val="clear" w:pos="720"/>
        </w:tabs>
        <w:spacing w:after="0" w:line="240" w:lineRule="auto"/>
        <w:ind w:left="851" w:right="283"/>
        <w:rPr>
          <w:sz w:val="24"/>
          <w:szCs w:val="24"/>
        </w:rPr>
      </w:pPr>
      <w:r w:rsidRPr="000C0940">
        <w:rPr>
          <w:sz w:val="24"/>
          <w:szCs w:val="24"/>
        </w:rPr>
        <w:t>Normally, where a short-term vacancy is identified, it will be filled by the above methods.  In certain circumstances, particularly those where a reduced (partial) set of tasks or responsibilities need to be picked up within a team, the vacancy is specific and technical in nature, or the need to fill is exceptionally urgent, then an honorarium arrangement may be appropriate.</w:t>
      </w:r>
    </w:p>
    <w:p w14:paraId="58DD1C7E" w14:textId="77777777" w:rsidR="000C0940" w:rsidRPr="000C0940" w:rsidRDefault="000C0940" w:rsidP="00CB37B8">
      <w:pPr>
        <w:pStyle w:val="BodyText"/>
        <w:spacing w:after="0"/>
        <w:ind w:left="851" w:right="283"/>
        <w:rPr>
          <w:sz w:val="24"/>
          <w:szCs w:val="24"/>
        </w:rPr>
      </w:pPr>
    </w:p>
    <w:p w14:paraId="359AF8D9" w14:textId="77777777" w:rsidR="000C0940" w:rsidRPr="000C0940" w:rsidRDefault="000C0940" w:rsidP="00CB37B8">
      <w:pPr>
        <w:pStyle w:val="BodyText"/>
        <w:spacing w:after="0"/>
        <w:ind w:left="851" w:right="283"/>
        <w:rPr>
          <w:rFonts w:cs="Arial"/>
          <w:b/>
          <w:sz w:val="24"/>
          <w:szCs w:val="24"/>
        </w:rPr>
      </w:pPr>
      <w:r w:rsidRPr="000C0940">
        <w:rPr>
          <w:rFonts w:cs="Arial"/>
          <w:b/>
          <w:sz w:val="24"/>
          <w:szCs w:val="24"/>
        </w:rPr>
        <w:t>Honoraria</w:t>
      </w:r>
    </w:p>
    <w:p w14:paraId="154965F7" w14:textId="69C28AB3" w:rsidR="000C0940" w:rsidRPr="000C0940" w:rsidRDefault="000C0940" w:rsidP="00D32888">
      <w:pPr>
        <w:pStyle w:val="BodyText"/>
        <w:numPr>
          <w:ilvl w:val="0"/>
          <w:numId w:val="21"/>
        </w:numPr>
        <w:tabs>
          <w:tab w:val="clear" w:pos="720"/>
        </w:tabs>
        <w:spacing w:after="0" w:line="240" w:lineRule="auto"/>
        <w:ind w:left="851" w:right="283"/>
        <w:rPr>
          <w:sz w:val="24"/>
          <w:szCs w:val="24"/>
        </w:rPr>
      </w:pPr>
      <w:r w:rsidRPr="000C0940">
        <w:rPr>
          <w:sz w:val="24"/>
          <w:szCs w:val="24"/>
        </w:rPr>
        <w:t xml:space="preserve">A </w:t>
      </w:r>
      <w:r w:rsidR="00C30664">
        <w:rPr>
          <w:sz w:val="24"/>
          <w:szCs w:val="24"/>
        </w:rPr>
        <w:t xml:space="preserve">Head of Service </w:t>
      </w:r>
      <w:r w:rsidRPr="000C0940">
        <w:rPr>
          <w:sz w:val="24"/>
          <w:szCs w:val="24"/>
        </w:rPr>
        <w:t xml:space="preserve">may seek, in conjunction with </w:t>
      </w:r>
      <w:r w:rsidR="00EA654F">
        <w:rPr>
          <w:sz w:val="24"/>
          <w:szCs w:val="24"/>
        </w:rPr>
        <w:t xml:space="preserve">the Head of </w:t>
      </w:r>
      <w:r w:rsidR="00A13B3C">
        <w:rPr>
          <w:sz w:val="24"/>
          <w:szCs w:val="24"/>
        </w:rPr>
        <w:t xml:space="preserve">Service for </w:t>
      </w:r>
      <w:r w:rsidR="00EA654F">
        <w:rPr>
          <w:sz w:val="24"/>
          <w:szCs w:val="24"/>
        </w:rPr>
        <w:t>HR</w:t>
      </w:r>
      <w:r w:rsidRPr="000C0940">
        <w:rPr>
          <w:sz w:val="24"/>
          <w:szCs w:val="24"/>
        </w:rPr>
        <w:t>, to apply an honorarium in the following circumstances:</w:t>
      </w:r>
    </w:p>
    <w:p w14:paraId="3BD972FF" w14:textId="77777777" w:rsidR="000C0940" w:rsidRPr="000C0940" w:rsidRDefault="000C0940" w:rsidP="00D32888">
      <w:pPr>
        <w:pStyle w:val="BodyText"/>
        <w:numPr>
          <w:ilvl w:val="0"/>
          <w:numId w:val="21"/>
        </w:numPr>
        <w:tabs>
          <w:tab w:val="clear" w:pos="720"/>
        </w:tabs>
        <w:spacing w:after="0" w:line="240" w:lineRule="auto"/>
        <w:ind w:left="851" w:right="283"/>
        <w:rPr>
          <w:sz w:val="24"/>
          <w:szCs w:val="24"/>
        </w:rPr>
      </w:pPr>
      <w:r w:rsidRPr="000C0940">
        <w:rPr>
          <w:sz w:val="24"/>
          <w:szCs w:val="24"/>
        </w:rPr>
        <w:t xml:space="preserve">A vacancy exists in the existing </w:t>
      </w:r>
      <w:proofErr w:type="gramStart"/>
      <w:r w:rsidRPr="000C0940">
        <w:rPr>
          <w:sz w:val="24"/>
          <w:szCs w:val="24"/>
        </w:rPr>
        <w:t>team</w:t>
      </w:r>
      <w:proofErr w:type="gramEnd"/>
      <w:r w:rsidRPr="000C0940">
        <w:rPr>
          <w:sz w:val="24"/>
          <w:szCs w:val="24"/>
        </w:rPr>
        <w:t xml:space="preserve"> and it is decided jointly by the </w:t>
      </w:r>
      <w:r w:rsidR="00EA654F">
        <w:rPr>
          <w:sz w:val="24"/>
          <w:szCs w:val="24"/>
        </w:rPr>
        <w:t>Head of Service</w:t>
      </w:r>
      <w:r w:rsidRPr="000C0940">
        <w:rPr>
          <w:sz w:val="24"/>
          <w:szCs w:val="24"/>
        </w:rPr>
        <w:t xml:space="preserve"> and </w:t>
      </w:r>
      <w:r w:rsidR="00EA654F">
        <w:rPr>
          <w:sz w:val="24"/>
          <w:szCs w:val="24"/>
        </w:rPr>
        <w:t xml:space="preserve">Head of </w:t>
      </w:r>
      <w:r w:rsidR="00A13B3C">
        <w:rPr>
          <w:sz w:val="24"/>
          <w:szCs w:val="24"/>
        </w:rPr>
        <w:t>Service</w:t>
      </w:r>
      <w:r w:rsidR="00EA654F">
        <w:rPr>
          <w:sz w:val="24"/>
          <w:szCs w:val="24"/>
        </w:rPr>
        <w:t xml:space="preserve"> for HR</w:t>
      </w:r>
      <w:r w:rsidR="00A13B3C">
        <w:rPr>
          <w:sz w:val="24"/>
          <w:szCs w:val="24"/>
        </w:rPr>
        <w:t xml:space="preserve"> </w:t>
      </w:r>
      <w:r w:rsidRPr="000C0940">
        <w:rPr>
          <w:sz w:val="24"/>
          <w:szCs w:val="24"/>
        </w:rPr>
        <w:t>that the vacancy should be filled on a short-term basis, but that there is not a need to fill the post at its full grade; the range of duties and level of responsibilities are reduced.   OR</w:t>
      </w:r>
    </w:p>
    <w:p w14:paraId="201D784E" w14:textId="77777777" w:rsidR="000C0940" w:rsidRPr="000C0940" w:rsidRDefault="000C0940" w:rsidP="00D32888">
      <w:pPr>
        <w:pStyle w:val="BodyText"/>
        <w:numPr>
          <w:ilvl w:val="0"/>
          <w:numId w:val="21"/>
        </w:numPr>
        <w:tabs>
          <w:tab w:val="clear" w:pos="720"/>
        </w:tabs>
        <w:spacing w:after="0" w:line="240" w:lineRule="auto"/>
        <w:ind w:left="851" w:right="283"/>
        <w:rPr>
          <w:sz w:val="24"/>
          <w:szCs w:val="24"/>
        </w:rPr>
      </w:pPr>
      <w:r w:rsidRPr="000C0940">
        <w:rPr>
          <w:sz w:val="24"/>
          <w:szCs w:val="24"/>
        </w:rPr>
        <w:t xml:space="preserve">In the short-term, additional duties and responsibilities are required of one or more post holders to recognise </w:t>
      </w:r>
      <w:proofErr w:type="gramStart"/>
      <w:r w:rsidRPr="000C0940">
        <w:rPr>
          <w:sz w:val="24"/>
          <w:szCs w:val="24"/>
        </w:rPr>
        <w:t>particular business</w:t>
      </w:r>
      <w:proofErr w:type="gramEnd"/>
      <w:r w:rsidRPr="000C0940">
        <w:rPr>
          <w:sz w:val="24"/>
          <w:szCs w:val="24"/>
        </w:rPr>
        <w:t xml:space="preserve"> needs even though there is no specific vacancy at a more senior level.</w:t>
      </w:r>
    </w:p>
    <w:p w14:paraId="259D0FBF" w14:textId="77777777" w:rsidR="000C0940" w:rsidRPr="000C0940" w:rsidRDefault="00D06ABF" w:rsidP="00D32888">
      <w:pPr>
        <w:pStyle w:val="BodyText"/>
        <w:numPr>
          <w:ilvl w:val="0"/>
          <w:numId w:val="21"/>
        </w:numPr>
        <w:tabs>
          <w:tab w:val="clear" w:pos="720"/>
        </w:tabs>
        <w:spacing w:after="0" w:line="240" w:lineRule="auto"/>
        <w:ind w:left="851" w:right="283"/>
        <w:rPr>
          <w:sz w:val="24"/>
          <w:szCs w:val="24"/>
        </w:rPr>
      </w:pPr>
      <w:r>
        <w:rPr>
          <w:sz w:val="24"/>
          <w:szCs w:val="24"/>
        </w:rPr>
        <w:t xml:space="preserve">When a </w:t>
      </w:r>
      <w:r w:rsidR="000C0940" w:rsidRPr="000C0940">
        <w:rPr>
          <w:sz w:val="24"/>
          <w:szCs w:val="24"/>
        </w:rPr>
        <w:t xml:space="preserve">“Principal Officer” (those posts graded at pay band 10 and </w:t>
      </w:r>
      <w:proofErr w:type="gramStart"/>
      <w:r w:rsidR="000C0940" w:rsidRPr="000C0940">
        <w:rPr>
          <w:sz w:val="24"/>
          <w:szCs w:val="24"/>
        </w:rPr>
        <w:t>above)  formally</w:t>
      </w:r>
      <w:proofErr w:type="gramEnd"/>
      <w:r w:rsidR="000C0940" w:rsidRPr="000C0940">
        <w:rPr>
          <w:sz w:val="24"/>
          <w:szCs w:val="24"/>
        </w:rPr>
        <w:t xml:space="preserve"> covers some or all of the duties of a more senior post for a period of more than four weeks</w:t>
      </w:r>
      <w:r>
        <w:rPr>
          <w:sz w:val="24"/>
          <w:szCs w:val="24"/>
        </w:rPr>
        <w:t xml:space="preserve"> </w:t>
      </w:r>
      <w:r w:rsidR="000C0940" w:rsidRPr="000C0940">
        <w:rPr>
          <w:sz w:val="24"/>
          <w:szCs w:val="24"/>
        </w:rPr>
        <w:t xml:space="preserve">it may be appropriate to apply an honorarium arrangement as for other posts. </w:t>
      </w:r>
    </w:p>
    <w:p w14:paraId="1571C9D6" w14:textId="77777777" w:rsidR="000C0940" w:rsidRPr="000C0940" w:rsidRDefault="000C0940" w:rsidP="00CB37B8">
      <w:pPr>
        <w:pStyle w:val="BodyText"/>
        <w:spacing w:after="0"/>
        <w:ind w:left="851" w:right="283"/>
        <w:rPr>
          <w:sz w:val="24"/>
          <w:szCs w:val="24"/>
        </w:rPr>
      </w:pPr>
    </w:p>
    <w:p w14:paraId="4958DA1A" w14:textId="77777777" w:rsidR="000C0940" w:rsidRPr="000C0940" w:rsidRDefault="000C0940" w:rsidP="00D32888">
      <w:pPr>
        <w:pStyle w:val="BodyText"/>
        <w:numPr>
          <w:ilvl w:val="0"/>
          <w:numId w:val="21"/>
        </w:numPr>
        <w:tabs>
          <w:tab w:val="clear" w:pos="720"/>
        </w:tabs>
        <w:spacing w:after="0" w:line="240" w:lineRule="auto"/>
        <w:ind w:left="851" w:right="283"/>
        <w:rPr>
          <w:sz w:val="24"/>
          <w:szCs w:val="24"/>
        </w:rPr>
      </w:pPr>
      <w:r w:rsidRPr="000C0940">
        <w:rPr>
          <w:sz w:val="24"/>
          <w:szCs w:val="24"/>
        </w:rPr>
        <w:t>Honoraria payments will not normally go on beyond one year.</w:t>
      </w:r>
    </w:p>
    <w:p w14:paraId="70B3FC99" w14:textId="77777777" w:rsidR="000C0940" w:rsidRPr="000C0940" w:rsidRDefault="000C0940" w:rsidP="00CB37B8">
      <w:pPr>
        <w:pStyle w:val="BodyText"/>
        <w:spacing w:after="0"/>
        <w:ind w:left="851" w:right="283"/>
        <w:rPr>
          <w:sz w:val="24"/>
          <w:szCs w:val="24"/>
        </w:rPr>
      </w:pPr>
    </w:p>
    <w:p w14:paraId="43EE5BAA" w14:textId="77777777" w:rsidR="000C0940" w:rsidRPr="000C0940" w:rsidRDefault="000C0940" w:rsidP="00D32888">
      <w:pPr>
        <w:pStyle w:val="BodyText"/>
        <w:numPr>
          <w:ilvl w:val="0"/>
          <w:numId w:val="21"/>
        </w:numPr>
        <w:tabs>
          <w:tab w:val="clear" w:pos="720"/>
        </w:tabs>
        <w:spacing w:after="0" w:line="240" w:lineRule="auto"/>
        <w:ind w:left="851" w:right="283"/>
        <w:rPr>
          <w:sz w:val="24"/>
          <w:szCs w:val="24"/>
        </w:rPr>
      </w:pPr>
      <w:r w:rsidRPr="000C0940">
        <w:rPr>
          <w:sz w:val="24"/>
          <w:szCs w:val="24"/>
        </w:rPr>
        <w:t>The level of payment will normally be set at a fixed spinal column point or salary figure to represent the additional duties and responsibilities to be carried out by the employee.</w:t>
      </w:r>
    </w:p>
    <w:p w14:paraId="2A3F59C2" w14:textId="77777777" w:rsidR="000C0940" w:rsidRPr="000C0940" w:rsidRDefault="000C0940" w:rsidP="00CB37B8">
      <w:pPr>
        <w:pStyle w:val="BodyText"/>
        <w:spacing w:after="0"/>
        <w:ind w:left="851" w:right="283"/>
        <w:rPr>
          <w:sz w:val="24"/>
          <w:szCs w:val="24"/>
        </w:rPr>
      </w:pPr>
    </w:p>
    <w:p w14:paraId="5B632883" w14:textId="77777777" w:rsidR="000C0940" w:rsidRPr="000C0940" w:rsidRDefault="000C0940" w:rsidP="00D32888">
      <w:pPr>
        <w:pStyle w:val="BodyText"/>
        <w:numPr>
          <w:ilvl w:val="0"/>
          <w:numId w:val="21"/>
        </w:numPr>
        <w:tabs>
          <w:tab w:val="clear" w:pos="720"/>
        </w:tabs>
        <w:spacing w:after="0" w:line="240" w:lineRule="auto"/>
        <w:ind w:left="851" w:right="283"/>
        <w:rPr>
          <w:sz w:val="24"/>
          <w:szCs w:val="24"/>
        </w:rPr>
      </w:pPr>
      <w:r w:rsidRPr="000C0940">
        <w:rPr>
          <w:sz w:val="24"/>
          <w:szCs w:val="24"/>
        </w:rPr>
        <w:t xml:space="preserve">The level of payment will be agreed between the </w:t>
      </w:r>
      <w:r w:rsidR="00EA654F">
        <w:rPr>
          <w:sz w:val="24"/>
          <w:szCs w:val="24"/>
        </w:rPr>
        <w:t>Head of Service</w:t>
      </w:r>
      <w:r w:rsidRPr="000C0940">
        <w:rPr>
          <w:sz w:val="24"/>
          <w:szCs w:val="24"/>
        </w:rPr>
        <w:t xml:space="preserve"> and </w:t>
      </w:r>
      <w:r w:rsidR="00EA654F">
        <w:rPr>
          <w:sz w:val="24"/>
          <w:szCs w:val="24"/>
        </w:rPr>
        <w:t xml:space="preserve">Head of </w:t>
      </w:r>
      <w:r w:rsidR="00A13B3C">
        <w:rPr>
          <w:sz w:val="24"/>
          <w:szCs w:val="24"/>
        </w:rPr>
        <w:t xml:space="preserve">Service for </w:t>
      </w:r>
      <w:r w:rsidR="00EA654F">
        <w:rPr>
          <w:sz w:val="24"/>
          <w:szCs w:val="24"/>
        </w:rPr>
        <w:t>HR</w:t>
      </w:r>
      <w:r w:rsidRPr="000C0940">
        <w:rPr>
          <w:sz w:val="24"/>
          <w:szCs w:val="24"/>
        </w:rPr>
        <w:t xml:space="preserve">.  This may be done by establishing a “felt-fair” spinal column point between the employee’s current pay point and the level of duties and responsibilities expected.  Where it is difficult or contentious to identify a point in this way, job evaluation may be used to identify an appropriate pay band and then a point to be applied within this band will be agreed by the </w:t>
      </w:r>
      <w:r w:rsidR="00EA654F">
        <w:rPr>
          <w:sz w:val="24"/>
          <w:szCs w:val="24"/>
        </w:rPr>
        <w:t>Head of Service</w:t>
      </w:r>
      <w:r w:rsidRPr="000C0940">
        <w:rPr>
          <w:sz w:val="24"/>
          <w:szCs w:val="24"/>
        </w:rPr>
        <w:t xml:space="preserve"> and </w:t>
      </w:r>
      <w:r w:rsidR="00EA654F">
        <w:rPr>
          <w:sz w:val="24"/>
          <w:szCs w:val="24"/>
        </w:rPr>
        <w:t xml:space="preserve">Head of </w:t>
      </w:r>
      <w:r w:rsidR="00A13B3C">
        <w:rPr>
          <w:sz w:val="24"/>
          <w:szCs w:val="24"/>
        </w:rPr>
        <w:t xml:space="preserve">Service for </w:t>
      </w:r>
      <w:r w:rsidR="00EA654F">
        <w:rPr>
          <w:sz w:val="24"/>
          <w:szCs w:val="24"/>
        </w:rPr>
        <w:t>HR</w:t>
      </w:r>
      <w:r w:rsidRPr="000C0940">
        <w:rPr>
          <w:sz w:val="24"/>
          <w:szCs w:val="24"/>
        </w:rPr>
        <w:t>.</w:t>
      </w:r>
    </w:p>
    <w:p w14:paraId="06161CE9" w14:textId="77777777" w:rsidR="000C0940" w:rsidRPr="000C0940" w:rsidRDefault="000C0940" w:rsidP="00CB37B8">
      <w:pPr>
        <w:pStyle w:val="BodyText"/>
        <w:spacing w:after="0"/>
        <w:ind w:left="851" w:right="283"/>
        <w:rPr>
          <w:sz w:val="24"/>
          <w:szCs w:val="24"/>
        </w:rPr>
      </w:pPr>
    </w:p>
    <w:p w14:paraId="195FB8AA" w14:textId="77777777" w:rsidR="000C0940" w:rsidRPr="000C0940" w:rsidRDefault="000C0940" w:rsidP="00D32888">
      <w:pPr>
        <w:pStyle w:val="BodyText"/>
        <w:numPr>
          <w:ilvl w:val="0"/>
          <w:numId w:val="21"/>
        </w:numPr>
        <w:tabs>
          <w:tab w:val="clear" w:pos="720"/>
        </w:tabs>
        <w:spacing w:after="0" w:line="240" w:lineRule="auto"/>
        <w:ind w:left="851" w:right="283"/>
        <w:rPr>
          <w:sz w:val="24"/>
          <w:szCs w:val="24"/>
        </w:rPr>
      </w:pPr>
      <w:r w:rsidRPr="000C0940">
        <w:rPr>
          <w:sz w:val="24"/>
          <w:szCs w:val="24"/>
        </w:rPr>
        <w:t xml:space="preserve">Selection for honoraria may take place in </w:t>
      </w:r>
      <w:proofErr w:type="gramStart"/>
      <w:r w:rsidRPr="000C0940">
        <w:rPr>
          <w:sz w:val="24"/>
          <w:szCs w:val="24"/>
        </w:rPr>
        <w:t>a number of</w:t>
      </w:r>
      <w:proofErr w:type="gramEnd"/>
      <w:r w:rsidRPr="000C0940">
        <w:rPr>
          <w:sz w:val="24"/>
          <w:szCs w:val="24"/>
        </w:rPr>
        <w:t xml:space="preserve"> ways:</w:t>
      </w:r>
    </w:p>
    <w:p w14:paraId="083C1712" w14:textId="77777777" w:rsidR="000C0940" w:rsidRDefault="000C0940" w:rsidP="00570C15">
      <w:pPr>
        <w:pStyle w:val="BodyText"/>
        <w:spacing w:after="0" w:line="240" w:lineRule="auto"/>
        <w:ind w:left="851" w:right="283"/>
        <w:rPr>
          <w:sz w:val="24"/>
          <w:szCs w:val="24"/>
        </w:rPr>
      </w:pPr>
      <w:proofErr w:type="gramStart"/>
      <w:r w:rsidRPr="000C0940">
        <w:rPr>
          <w:sz w:val="24"/>
          <w:szCs w:val="24"/>
        </w:rPr>
        <w:t>Where particular, specific</w:t>
      </w:r>
      <w:proofErr w:type="gramEnd"/>
      <w:r w:rsidRPr="000C0940">
        <w:rPr>
          <w:sz w:val="24"/>
          <w:szCs w:val="24"/>
        </w:rPr>
        <w:t xml:space="preserve"> skills are required and it is reasonable to expect that only one post holder will meet the criteria at a particular work base (for example, Civic Centre, specified Leisure Centre), the </w:t>
      </w:r>
      <w:r w:rsidR="00EA654F">
        <w:rPr>
          <w:sz w:val="24"/>
          <w:szCs w:val="24"/>
        </w:rPr>
        <w:t>Head of Service</w:t>
      </w:r>
      <w:r w:rsidRPr="000C0940">
        <w:rPr>
          <w:sz w:val="24"/>
          <w:szCs w:val="24"/>
        </w:rPr>
        <w:t xml:space="preserve"> may, following consultation with</w:t>
      </w:r>
      <w:r>
        <w:rPr>
          <w:sz w:val="24"/>
          <w:szCs w:val="24"/>
        </w:rPr>
        <w:t>,</w:t>
      </w:r>
      <w:r w:rsidRPr="000C0940">
        <w:rPr>
          <w:sz w:val="24"/>
          <w:szCs w:val="24"/>
        </w:rPr>
        <w:t xml:space="preserve"> and agreement by</w:t>
      </w:r>
      <w:r>
        <w:rPr>
          <w:sz w:val="24"/>
          <w:szCs w:val="24"/>
        </w:rPr>
        <w:t>,</w:t>
      </w:r>
      <w:r w:rsidRPr="000C0940">
        <w:rPr>
          <w:sz w:val="24"/>
          <w:szCs w:val="24"/>
        </w:rPr>
        <w:t xml:space="preserve"> </w:t>
      </w:r>
      <w:r w:rsidR="00EA654F">
        <w:rPr>
          <w:sz w:val="24"/>
          <w:szCs w:val="24"/>
        </w:rPr>
        <w:t xml:space="preserve">Head of </w:t>
      </w:r>
      <w:r w:rsidR="00A13B3C">
        <w:rPr>
          <w:sz w:val="24"/>
          <w:szCs w:val="24"/>
        </w:rPr>
        <w:t xml:space="preserve">Service for </w:t>
      </w:r>
      <w:r w:rsidR="00EA654F">
        <w:rPr>
          <w:sz w:val="24"/>
          <w:szCs w:val="24"/>
        </w:rPr>
        <w:t>HR</w:t>
      </w:r>
      <w:r w:rsidRPr="000C0940">
        <w:rPr>
          <w:sz w:val="24"/>
          <w:szCs w:val="24"/>
        </w:rPr>
        <w:t>, identify a particular individual to whom they wish to offer an honorarium.</w:t>
      </w:r>
    </w:p>
    <w:p w14:paraId="044DC1B1" w14:textId="77777777" w:rsidR="000C0940" w:rsidRPr="000C0940" w:rsidRDefault="000C0940" w:rsidP="00CB37B8">
      <w:pPr>
        <w:pStyle w:val="BodyText"/>
        <w:spacing w:after="0" w:line="240" w:lineRule="auto"/>
        <w:ind w:left="851" w:right="283"/>
        <w:rPr>
          <w:sz w:val="24"/>
          <w:szCs w:val="24"/>
        </w:rPr>
      </w:pPr>
    </w:p>
    <w:p w14:paraId="360C66F6" w14:textId="77777777" w:rsidR="000C0940" w:rsidRPr="000C0940" w:rsidRDefault="000C0940" w:rsidP="00D32888">
      <w:pPr>
        <w:pStyle w:val="BodyText"/>
        <w:numPr>
          <w:ilvl w:val="0"/>
          <w:numId w:val="21"/>
        </w:numPr>
        <w:tabs>
          <w:tab w:val="clear" w:pos="720"/>
        </w:tabs>
        <w:spacing w:after="0" w:line="240" w:lineRule="auto"/>
        <w:ind w:left="851" w:right="283"/>
        <w:rPr>
          <w:sz w:val="24"/>
          <w:szCs w:val="24"/>
        </w:rPr>
      </w:pPr>
      <w:r w:rsidRPr="000C0940">
        <w:rPr>
          <w:sz w:val="24"/>
          <w:szCs w:val="24"/>
        </w:rPr>
        <w:t xml:space="preserve">Where a number of people within a team might be expected to be able to work up to a higher level, but people outside the team would not be expected to have the current skill-set required, the </w:t>
      </w:r>
      <w:r w:rsidR="00EA654F">
        <w:rPr>
          <w:sz w:val="24"/>
          <w:szCs w:val="24"/>
        </w:rPr>
        <w:t>Head of Service</w:t>
      </w:r>
      <w:r w:rsidRPr="000C0940">
        <w:rPr>
          <w:sz w:val="24"/>
          <w:szCs w:val="24"/>
        </w:rPr>
        <w:t xml:space="preserve"> would be expected, with appropriate assistance from Personnel Services to identify if there would be interest from a number of people to act up into a more senior role.  If this were the case, the </w:t>
      </w:r>
      <w:r w:rsidR="00EA654F">
        <w:rPr>
          <w:sz w:val="24"/>
          <w:szCs w:val="24"/>
        </w:rPr>
        <w:t>Head of Service</w:t>
      </w:r>
      <w:r w:rsidRPr="000C0940">
        <w:rPr>
          <w:sz w:val="24"/>
          <w:szCs w:val="24"/>
        </w:rPr>
        <w:t xml:space="preserve"> would need either to offer the opportunity to all interested parties on some fair rota basis or decide on a single candidate following some formal assessment process </w:t>
      </w:r>
      <w:proofErr w:type="gramStart"/>
      <w:r w:rsidRPr="000C0940">
        <w:rPr>
          <w:sz w:val="24"/>
          <w:szCs w:val="24"/>
        </w:rPr>
        <w:t>similar to</w:t>
      </w:r>
      <w:proofErr w:type="gramEnd"/>
      <w:r w:rsidRPr="000C0940">
        <w:rPr>
          <w:sz w:val="24"/>
          <w:szCs w:val="24"/>
        </w:rPr>
        <w:t xml:space="preserve"> a recruitment exercise, such as a targeted interview (although this would not necessarily require application form).  This exercise might be site-specific if there was a business or operational need to not alter or change staffing arrangements between work sites (for </w:t>
      </w:r>
      <w:proofErr w:type="gramStart"/>
      <w:r w:rsidRPr="000C0940">
        <w:rPr>
          <w:sz w:val="24"/>
          <w:szCs w:val="24"/>
        </w:rPr>
        <w:t>example;</w:t>
      </w:r>
      <w:proofErr w:type="gramEnd"/>
      <w:r w:rsidRPr="000C0940">
        <w:rPr>
          <w:sz w:val="24"/>
          <w:szCs w:val="24"/>
        </w:rPr>
        <w:t xml:space="preserve"> opportunity to act up to a duty manager role at a leisure centre may only be offered to employees currently working at that site).</w:t>
      </w:r>
    </w:p>
    <w:p w14:paraId="14D6C609" w14:textId="77777777" w:rsidR="000C0940" w:rsidRPr="000C0940" w:rsidRDefault="000C0940" w:rsidP="00CB37B8">
      <w:pPr>
        <w:pStyle w:val="BodyText"/>
        <w:spacing w:after="0"/>
        <w:ind w:left="851" w:right="283"/>
        <w:rPr>
          <w:sz w:val="24"/>
          <w:szCs w:val="24"/>
        </w:rPr>
      </w:pPr>
    </w:p>
    <w:p w14:paraId="0E77F282" w14:textId="77777777" w:rsidR="000C0940" w:rsidRPr="000C0940" w:rsidRDefault="000C0940" w:rsidP="00D32888">
      <w:pPr>
        <w:pStyle w:val="BodyText"/>
        <w:numPr>
          <w:ilvl w:val="0"/>
          <w:numId w:val="21"/>
        </w:numPr>
        <w:tabs>
          <w:tab w:val="clear" w:pos="720"/>
        </w:tabs>
        <w:spacing w:after="0" w:line="240" w:lineRule="auto"/>
        <w:ind w:left="851" w:right="283"/>
        <w:rPr>
          <w:sz w:val="24"/>
          <w:szCs w:val="24"/>
        </w:rPr>
      </w:pPr>
      <w:r w:rsidRPr="000C0940">
        <w:rPr>
          <w:sz w:val="24"/>
          <w:szCs w:val="24"/>
        </w:rPr>
        <w:t>In cases where there is potential for a particular vacant role to be filled by employees from other teams, locations or services within the Council, unless there was a specific urgent need to find someone to carry out a particular role for a short length of time in which case either of the two above scenarios might apply, then the process to identify suitable candidates would mirror the steps for temporary employment above, including appropriate advertisement (in effect, it would be a recruitment exercise rather than an honorarium arrangement).</w:t>
      </w:r>
    </w:p>
    <w:p w14:paraId="2A9F1149" w14:textId="77777777" w:rsidR="000C0940" w:rsidRPr="000C0940" w:rsidRDefault="000C0940" w:rsidP="00CB37B8">
      <w:pPr>
        <w:pStyle w:val="BodyText"/>
        <w:spacing w:after="0"/>
        <w:ind w:left="851" w:right="283"/>
        <w:rPr>
          <w:sz w:val="24"/>
          <w:szCs w:val="24"/>
        </w:rPr>
      </w:pPr>
    </w:p>
    <w:p w14:paraId="3366EFDE" w14:textId="77777777" w:rsidR="00222CE1" w:rsidRPr="000C0940" w:rsidRDefault="000C0940" w:rsidP="00D32888">
      <w:pPr>
        <w:pStyle w:val="BodyText"/>
        <w:numPr>
          <w:ilvl w:val="0"/>
          <w:numId w:val="21"/>
        </w:numPr>
        <w:tabs>
          <w:tab w:val="clear" w:pos="720"/>
        </w:tabs>
        <w:spacing w:after="0" w:line="240" w:lineRule="auto"/>
        <w:ind w:left="851" w:right="283"/>
        <w:jc w:val="left"/>
        <w:rPr>
          <w:sz w:val="24"/>
          <w:szCs w:val="24"/>
        </w:rPr>
      </w:pPr>
      <w:r w:rsidRPr="000C0940">
        <w:rPr>
          <w:sz w:val="24"/>
          <w:szCs w:val="24"/>
        </w:rPr>
        <w:t>Where a decision is taken to fill a post on a permanent basis that has been occupied at part or full duties by someone on an honorarium basis, the vacancy will be advertised externally.</w:t>
      </w:r>
    </w:p>
    <w:p w14:paraId="0F0CE308" w14:textId="77777777" w:rsidR="00222CE1" w:rsidRDefault="00D6098A" w:rsidP="00CB37B8">
      <w:pPr>
        <w:ind w:left="851" w:right="283"/>
        <w:jc w:val="right"/>
      </w:pPr>
      <w:r>
        <w:br w:type="page"/>
      </w:r>
    </w:p>
    <w:p w14:paraId="7C6E530A" w14:textId="77777777" w:rsidR="0085435B" w:rsidRDefault="001A57CF" w:rsidP="00DB62C7">
      <w:pPr>
        <w:ind w:left="426" w:right="283"/>
        <w:jc w:val="right"/>
      </w:pPr>
      <w:r>
        <w:t>Appendix v</w:t>
      </w:r>
      <w:r w:rsidR="00BA7DD3">
        <w:t>i</w:t>
      </w:r>
      <w:r w:rsidR="0049013E">
        <w:t>a</w:t>
      </w:r>
    </w:p>
    <w:p w14:paraId="2F749C1F" w14:textId="77777777" w:rsidR="001A57CF" w:rsidRDefault="001A57CF" w:rsidP="00DB62C7">
      <w:pPr>
        <w:ind w:left="426" w:right="283"/>
        <w:jc w:val="both"/>
      </w:pPr>
    </w:p>
    <w:p w14:paraId="279623E9" w14:textId="77777777" w:rsidR="001A57CF" w:rsidRPr="00240B0C" w:rsidRDefault="002C4201" w:rsidP="001D7F20">
      <w:pPr>
        <w:ind w:right="283"/>
        <w:rPr>
          <w:b/>
          <w:sz w:val="28"/>
          <w:szCs w:val="28"/>
        </w:rPr>
      </w:pPr>
      <w:r>
        <w:rPr>
          <w:b/>
          <w:sz w:val="28"/>
          <w:szCs w:val="28"/>
        </w:rPr>
        <w:t xml:space="preserve">Pay policy governing </w:t>
      </w:r>
      <w:r w:rsidR="001A57CF" w:rsidRPr="00240B0C">
        <w:rPr>
          <w:b/>
          <w:sz w:val="28"/>
          <w:szCs w:val="28"/>
        </w:rPr>
        <w:t>Director</w:t>
      </w:r>
      <w:r>
        <w:rPr>
          <w:b/>
          <w:sz w:val="28"/>
          <w:szCs w:val="28"/>
        </w:rPr>
        <w:t xml:space="preserve">s’ </w:t>
      </w:r>
      <w:proofErr w:type="gramStart"/>
      <w:r>
        <w:rPr>
          <w:b/>
          <w:sz w:val="28"/>
          <w:szCs w:val="28"/>
        </w:rPr>
        <w:t>pay</w:t>
      </w:r>
      <w:r w:rsidR="001A57CF" w:rsidRPr="00240B0C">
        <w:rPr>
          <w:b/>
          <w:sz w:val="28"/>
          <w:szCs w:val="28"/>
        </w:rPr>
        <w:t>;</w:t>
      </w:r>
      <w:proofErr w:type="gramEnd"/>
    </w:p>
    <w:p w14:paraId="45EC6288" w14:textId="77777777" w:rsidR="001A57CF" w:rsidRDefault="001A57CF" w:rsidP="00DB62C7">
      <w:pPr>
        <w:ind w:left="426" w:right="283"/>
      </w:pPr>
      <w:r>
        <w:t xml:space="preserve"> </w:t>
      </w:r>
    </w:p>
    <w:p w14:paraId="188CE0C9" w14:textId="77777777" w:rsidR="001D7F20" w:rsidRPr="008D3A97" w:rsidRDefault="001D7F20" w:rsidP="001D7F20">
      <w:pPr>
        <w:rPr>
          <w:rFonts w:cs="Arial"/>
          <w:color w:val="000000"/>
          <w:szCs w:val="24"/>
        </w:rPr>
      </w:pPr>
      <w:r w:rsidRPr="008D3A97">
        <w:rPr>
          <w:rFonts w:cs="Arial"/>
          <w:color w:val="000000"/>
          <w:szCs w:val="24"/>
        </w:rPr>
        <w:t xml:space="preserve">Appointment to any </w:t>
      </w:r>
      <w:r>
        <w:rPr>
          <w:rFonts w:cs="Arial"/>
          <w:color w:val="000000"/>
          <w:szCs w:val="24"/>
        </w:rPr>
        <w:t xml:space="preserve">post of </w:t>
      </w:r>
      <w:r w:rsidRPr="008D3A97">
        <w:rPr>
          <w:rFonts w:cs="Arial"/>
          <w:color w:val="000000"/>
          <w:szCs w:val="24"/>
        </w:rPr>
        <w:t xml:space="preserve">Director will </w:t>
      </w:r>
      <w:r>
        <w:rPr>
          <w:rFonts w:cs="Arial"/>
          <w:color w:val="000000"/>
          <w:szCs w:val="24"/>
        </w:rPr>
        <w:t xml:space="preserve">normally </w:t>
      </w:r>
      <w:r w:rsidRPr="008D3A97">
        <w:rPr>
          <w:rFonts w:cs="Arial"/>
          <w:color w:val="000000"/>
          <w:szCs w:val="24"/>
        </w:rPr>
        <w:t>be made at the bottom scale point of a three-point pay scale.</w:t>
      </w:r>
    </w:p>
    <w:p w14:paraId="6F984FA4" w14:textId="77777777" w:rsidR="001D7F20" w:rsidRPr="008D3A97" w:rsidRDefault="001D7F20" w:rsidP="001D7F20">
      <w:pPr>
        <w:rPr>
          <w:rFonts w:cs="Arial"/>
          <w:color w:val="000000"/>
          <w:szCs w:val="24"/>
        </w:rPr>
      </w:pPr>
    </w:p>
    <w:p w14:paraId="41343180" w14:textId="77777777" w:rsidR="001D7F20" w:rsidRPr="008D3A97" w:rsidRDefault="001D7F20" w:rsidP="001D7F20">
      <w:pPr>
        <w:rPr>
          <w:rFonts w:cs="Arial"/>
          <w:color w:val="000000"/>
          <w:szCs w:val="24"/>
        </w:rPr>
      </w:pPr>
      <w:r w:rsidRPr="008D3A97">
        <w:rPr>
          <w:rFonts w:cs="Arial"/>
          <w:color w:val="000000"/>
          <w:szCs w:val="24"/>
        </w:rPr>
        <w:t>A formal performance review will be conducted by the Chief Executive to determine suitability to progress to the mid-point of the grade after one year’s service in post and following consultation with the Appointments and Conditions of Service Committee.</w:t>
      </w:r>
    </w:p>
    <w:p w14:paraId="0A5BDD23" w14:textId="77777777" w:rsidR="001D7F20" w:rsidRPr="008D3A97" w:rsidRDefault="001D7F20" w:rsidP="001D7F20">
      <w:pPr>
        <w:rPr>
          <w:rFonts w:cs="Arial"/>
          <w:color w:val="000000"/>
          <w:szCs w:val="24"/>
        </w:rPr>
      </w:pPr>
    </w:p>
    <w:p w14:paraId="013F2ED5" w14:textId="77777777" w:rsidR="001D7F20" w:rsidRPr="008D3A97" w:rsidRDefault="001D7F20" w:rsidP="001D7F20">
      <w:pPr>
        <w:rPr>
          <w:rFonts w:cs="Arial"/>
          <w:color w:val="000000"/>
          <w:szCs w:val="24"/>
        </w:rPr>
      </w:pPr>
      <w:r w:rsidRPr="008D3A97">
        <w:rPr>
          <w:rFonts w:cs="Arial"/>
          <w:color w:val="000000"/>
          <w:szCs w:val="24"/>
        </w:rPr>
        <w:t xml:space="preserve">Should the Chief Executive determine that performance is unsatisfactory, pay will remain at the bottom point of the pay </w:t>
      </w:r>
      <w:proofErr w:type="gramStart"/>
      <w:r w:rsidRPr="008D3A97">
        <w:rPr>
          <w:rFonts w:cs="Arial"/>
          <w:color w:val="000000"/>
          <w:szCs w:val="24"/>
        </w:rPr>
        <w:t>grade</w:t>
      </w:r>
      <w:proofErr w:type="gramEnd"/>
      <w:r w:rsidRPr="008D3A97">
        <w:rPr>
          <w:rFonts w:cs="Arial"/>
          <w:color w:val="000000"/>
          <w:szCs w:val="24"/>
        </w:rPr>
        <w:t xml:space="preserve"> </w:t>
      </w:r>
    </w:p>
    <w:p w14:paraId="6FF44DCF" w14:textId="77777777" w:rsidR="001D7F20" w:rsidRPr="008D3A97" w:rsidRDefault="001D7F20" w:rsidP="001D7F20">
      <w:pPr>
        <w:rPr>
          <w:rFonts w:cs="Arial"/>
          <w:color w:val="000000"/>
          <w:szCs w:val="24"/>
        </w:rPr>
      </w:pPr>
    </w:p>
    <w:p w14:paraId="0A59F364" w14:textId="77777777" w:rsidR="001D7F20" w:rsidRPr="008D3A97" w:rsidRDefault="001D7F20" w:rsidP="001D7F20">
      <w:pPr>
        <w:rPr>
          <w:rFonts w:cs="Arial"/>
          <w:color w:val="000000"/>
          <w:szCs w:val="24"/>
        </w:rPr>
      </w:pPr>
      <w:r w:rsidRPr="008D3A97">
        <w:rPr>
          <w:rFonts w:cs="Arial"/>
          <w:color w:val="000000"/>
          <w:szCs w:val="24"/>
        </w:rPr>
        <w:t xml:space="preserve">Payment of the top pay point of the grade to be determined annually by formal performance review conducted by the Chief Executive and following consultation with the Appointments and Conditions of Service Committee.  Subject to satisfactory performance, payment of the top pay point will be made </w:t>
      </w:r>
      <w:r>
        <w:rPr>
          <w:rFonts w:cs="Arial"/>
          <w:color w:val="000000"/>
          <w:szCs w:val="24"/>
        </w:rPr>
        <w:t xml:space="preserve">through annual progression of </w:t>
      </w:r>
      <w:r w:rsidRPr="008D3A97">
        <w:rPr>
          <w:rFonts w:cs="Arial"/>
          <w:color w:val="000000"/>
          <w:szCs w:val="24"/>
        </w:rPr>
        <w:t xml:space="preserve">service in post and, again subject to satisfactory performance, </w:t>
      </w:r>
      <w:r>
        <w:rPr>
          <w:rFonts w:cs="Arial"/>
          <w:color w:val="000000"/>
          <w:szCs w:val="24"/>
        </w:rPr>
        <w:t>will remain there</w:t>
      </w:r>
      <w:r w:rsidRPr="008D3A97">
        <w:rPr>
          <w:rFonts w:cs="Arial"/>
          <w:color w:val="000000"/>
          <w:szCs w:val="24"/>
        </w:rPr>
        <w:t xml:space="preserve"> thereafter.  Should the Chief Executive determine that performance is unsatisfactory, pay will remain at, or be reduced to, the mid-point of the pay grade. </w:t>
      </w:r>
    </w:p>
    <w:p w14:paraId="37DB05A4" w14:textId="77777777" w:rsidR="001D7F20" w:rsidRPr="008D3A97" w:rsidRDefault="001D7F20" w:rsidP="001D7F20">
      <w:pPr>
        <w:rPr>
          <w:rFonts w:cs="Arial"/>
          <w:color w:val="000000"/>
          <w:szCs w:val="24"/>
        </w:rPr>
      </w:pPr>
    </w:p>
    <w:p w14:paraId="687434E6" w14:textId="77777777" w:rsidR="001D7F20" w:rsidRDefault="001D7F20" w:rsidP="001D7F20">
      <w:pPr>
        <w:rPr>
          <w:rFonts w:cs="Arial"/>
          <w:color w:val="000000"/>
          <w:szCs w:val="24"/>
        </w:rPr>
      </w:pPr>
      <w:r w:rsidRPr="008D3A97">
        <w:rPr>
          <w:rFonts w:cs="Arial"/>
          <w:color w:val="000000"/>
          <w:szCs w:val="24"/>
        </w:rPr>
        <w:t>The detail of the performance review scheme is determined by the Chief Executive.</w:t>
      </w:r>
    </w:p>
    <w:p w14:paraId="4D1E50F8" w14:textId="77777777" w:rsidR="002D11FA" w:rsidRDefault="002D11FA" w:rsidP="00DB62C7">
      <w:pPr>
        <w:ind w:left="426" w:right="283"/>
        <w:jc w:val="both"/>
      </w:pPr>
    </w:p>
    <w:p w14:paraId="1F1505C6" w14:textId="77777777" w:rsidR="0092436B" w:rsidRDefault="0092436B">
      <w:r>
        <w:br w:type="page"/>
      </w:r>
    </w:p>
    <w:p w14:paraId="048B41F1" w14:textId="77777777" w:rsidR="0049013E" w:rsidRDefault="0049013E" w:rsidP="0049013E">
      <w:pPr>
        <w:ind w:left="426" w:right="283"/>
        <w:jc w:val="right"/>
      </w:pPr>
      <w:r>
        <w:t xml:space="preserve">Appendix </w:t>
      </w:r>
      <w:proofErr w:type="spellStart"/>
      <w:r>
        <w:t>vib</w:t>
      </w:r>
      <w:proofErr w:type="spellEnd"/>
    </w:p>
    <w:p w14:paraId="6D6D7930" w14:textId="77777777" w:rsidR="0092436B" w:rsidRDefault="0092436B" w:rsidP="0049013E">
      <w:pPr>
        <w:ind w:left="426" w:right="283"/>
        <w:jc w:val="right"/>
      </w:pPr>
    </w:p>
    <w:p w14:paraId="1BCF20F3" w14:textId="77777777" w:rsidR="0049013E" w:rsidRPr="0049013E" w:rsidRDefault="0049013E" w:rsidP="0049013E">
      <w:pPr>
        <w:ind w:left="426"/>
        <w:rPr>
          <w:b/>
          <w:sz w:val="28"/>
          <w:szCs w:val="28"/>
        </w:rPr>
      </w:pPr>
      <w:r w:rsidRPr="0049013E">
        <w:rPr>
          <w:b/>
          <w:sz w:val="28"/>
          <w:szCs w:val="28"/>
        </w:rPr>
        <w:t xml:space="preserve">Pay and </w:t>
      </w:r>
      <w:r w:rsidR="007E7112">
        <w:rPr>
          <w:b/>
          <w:sz w:val="28"/>
          <w:szCs w:val="28"/>
        </w:rPr>
        <w:t>p</w:t>
      </w:r>
      <w:r w:rsidRPr="0049013E">
        <w:rPr>
          <w:b/>
          <w:sz w:val="28"/>
          <w:szCs w:val="28"/>
        </w:rPr>
        <w:t xml:space="preserve">erformance </w:t>
      </w:r>
      <w:r w:rsidR="007E7112">
        <w:rPr>
          <w:b/>
          <w:sz w:val="28"/>
          <w:szCs w:val="28"/>
        </w:rPr>
        <w:t>p</w:t>
      </w:r>
      <w:r w:rsidRPr="0049013E">
        <w:rPr>
          <w:b/>
          <w:sz w:val="28"/>
          <w:szCs w:val="28"/>
        </w:rPr>
        <w:t>olicy</w:t>
      </w:r>
      <w:r w:rsidR="007E7112">
        <w:rPr>
          <w:b/>
          <w:sz w:val="28"/>
          <w:szCs w:val="28"/>
        </w:rPr>
        <w:t xml:space="preserve"> governing the Chief Executive’s </w:t>
      </w:r>
      <w:proofErr w:type="gramStart"/>
      <w:r w:rsidR="007E7112">
        <w:rPr>
          <w:b/>
          <w:sz w:val="28"/>
          <w:szCs w:val="28"/>
        </w:rPr>
        <w:t>pay</w:t>
      </w:r>
      <w:proofErr w:type="gramEnd"/>
    </w:p>
    <w:p w14:paraId="742FBD27" w14:textId="77777777" w:rsidR="0049013E" w:rsidRDefault="0049013E" w:rsidP="0049013E">
      <w:pPr>
        <w:ind w:left="426"/>
        <w:rPr>
          <w:b/>
          <w:szCs w:val="24"/>
        </w:rPr>
      </w:pPr>
    </w:p>
    <w:p w14:paraId="667867D1" w14:textId="77777777" w:rsidR="0049013E" w:rsidRPr="001D75FF" w:rsidRDefault="0049013E" w:rsidP="0049013E">
      <w:pPr>
        <w:ind w:left="426"/>
      </w:pPr>
    </w:p>
    <w:p w14:paraId="3433B76F" w14:textId="77777777" w:rsidR="0049013E" w:rsidRPr="001D75FF" w:rsidRDefault="0049013E" w:rsidP="0049013E">
      <w:pPr>
        <w:ind w:left="426"/>
        <w:rPr>
          <w:rFonts w:eastAsia="Calibri"/>
          <w:b/>
          <w:szCs w:val="22"/>
        </w:rPr>
      </w:pPr>
      <w:r w:rsidRPr="001D75FF">
        <w:rPr>
          <w:rFonts w:eastAsia="Calibri"/>
          <w:b/>
          <w:szCs w:val="22"/>
        </w:rPr>
        <w:t>1. General principles</w:t>
      </w:r>
    </w:p>
    <w:p w14:paraId="3F10F67D" w14:textId="77777777" w:rsidR="0049013E" w:rsidRPr="001D75FF" w:rsidRDefault="0049013E" w:rsidP="0049013E">
      <w:pPr>
        <w:ind w:left="426"/>
        <w:rPr>
          <w:rFonts w:eastAsia="Calibri"/>
          <w:szCs w:val="22"/>
        </w:rPr>
      </w:pPr>
      <w:r w:rsidRPr="001D75FF">
        <w:rPr>
          <w:rFonts w:eastAsia="Calibri"/>
          <w:szCs w:val="22"/>
        </w:rPr>
        <w:t xml:space="preserve">Appointment to the post of Chief Executive will be within the local pay scale determined by the Appointments and Conditions of Service Committee (ACSC). The pay scale of the Chief Executive stands alone and is not linked to pay rates of other posts within the Council. </w:t>
      </w:r>
    </w:p>
    <w:p w14:paraId="08CCF919" w14:textId="77777777" w:rsidR="0049013E" w:rsidRPr="001D75FF" w:rsidRDefault="0049013E" w:rsidP="0049013E">
      <w:pPr>
        <w:ind w:left="426"/>
        <w:rPr>
          <w:rFonts w:eastAsia="Calibri"/>
          <w:szCs w:val="22"/>
        </w:rPr>
      </w:pPr>
    </w:p>
    <w:p w14:paraId="3A7CE5D6" w14:textId="77777777" w:rsidR="0049013E" w:rsidRPr="001D75FF" w:rsidRDefault="0049013E" w:rsidP="0049013E">
      <w:pPr>
        <w:ind w:left="426"/>
        <w:rPr>
          <w:rFonts w:eastAsia="Calibri"/>
          <w:szCs w:val="22"/>
        </w:rPr>
      </w:pPr>
      <w:r w:rsidRPr="001D75FF">
        <w:rPr>
          <w:rFonts w:eastAsia="Calibri"/>
          <w:szCs w:val="22"/>
        </w:rPr>
        <w:t xml:space="preserve">The ACSC will determine to which point within the scale the appointment will be made </w:t>
      </w:r>
      <w:proofErr w:type="gramStart"/>
      <w:r w:rsidRPr="001D75FF">
        <w:rPr>
          <w:rFonts w:eastAsia="Calibri"/>
          <w:szCs w:val="22"/>
        </w:rPr>
        <w:t>taking into account</w:t>
      </w:r>
      <w:proofErr w:type="gramEnd"/>
      <w:r w:rsidRPr="001D75FF">
        <w:rPr>
          <w:rFonts w:eastAsia="Calibri"/>
          <w:szCs w:val="22"/>
        </w:rPr>
        <w:t xml:space="preserve"> appropriate experience and skill set. </w:t>
      </w:r>
    </w:p>
    <w:p w14:paraId="648A0D98" w14:textId="77777777" w:rsidR="0049013E" w:rsidRPr="001D75FF" w:rsidRDefault="0049013E" w:rsidP="0049013E">
      <w:pPr>
        <w:ind w:left="426"/>
        <w:rPr>
          <w:rFonts w:eastAsia="Calibri"/>
          <w:szCs w:val="22"/>
        </w:rPr>
      </w:pPr>
    </w:p>
    <w:p w14:paraId="1F386BAB" w14:textId="77777777" w:rsidR="0049013E" w:rsidRPr="001D75FF" w:rsidRDefault="0049013E" w:rsidP="0049013E">
      <w:pPr>
        <w:ind w:left="426"/>
        <w:rPr>
          <w:rFonts w:eastAsia="Calibri"/>
          <w:b/>
          <w:szCs w:val="22"/>
        </w:rPr>
      </w:pPr>
      <w:r w:rsidRPr="001D75FF">
        <w:rPr>
          <w:rFonts w:eastAsia="Calibri"/>
          <w:b/>
          <w:szCs w:val="22"/>
        </w:rPr>
        <w:t>2. Progression and payment within scale</w:t>
      </w:r>
    </w:p>
    <w:p w14:paraId="528744BB" w14:textId="77777777" w:rsidR="0049013E" w:rsidRPr="001D75FF" w:rsidRDefault="0049013E" w:rsidP="0049013E">
      <w:pPr>
        <w:ind w:left="426"/>
        <w:rPr>
          <w:rFonts w:eastAsia="Calibri"/>
          <w:szCs w:val="22"/>
        </w:rPr>
      </w:pPr>
      <w:r w:rsidRPr="001D75FF">
        <w:rPr>
          <w:rFonts w:eastAsia="Calibri"/>
          <w:szCs w:val="22"/>
        </w:rPr>
        <w:t>A formal performance and pay review will be conducted annually prior to the anniversary of appointment.</w:t>
      </w:r>
    </w:p>
    <w:p w14:paraId="2A6489F5" w14:textId="77777777" w:rsidR="0049013E" w:rsidRPr="001D75FF" w:rsidRDefault="0049013E" w:rsidP="0049013E">
      <w:pPr>
        <w:ind w:left="426"/>
        <w:rPr>
          <w:rFonts w:eastAsia="Calibri"/>
          <w:szCs w:val="22"/>
        </w:rPr>
      </w:pPr>
    </w:p>
    <w:p w14:paraId="6E0D558A" w14:textId="77777777" w:rsidR="0049013E" w:rsidRPr="001D75FF" w:rsidRDefault="0049013E" w:rsidP="0049013E">
      <w:pPr>
        <w:ind w:left="426"/>
        <w:rPr>
          <w:rFonts w:eastAsia="Calibri"/>
          <w:szCs w:val="22"/>
        </w:rPr>
      </w:pPr>
      <w:r w:rsidRPr="001D75FF">
        <w:rPr>
          <w:rFonts w:eastAsia="Calibri"/>
          <w:szCs w:val="22"/>
        </w:rPr>
        <w:t xml:space="preserve">The performance and pay review will be conducted by the ACSC. </w:t>
      </w:r>
    </w:p>
    <w:p w14:paraId="109791A9" w14:textId="77777777" w:rsidR="0049013E" w:rsidRPr="001D75FF" w:rsidRDefault="0049013E" w:rsidP="0049013E">
      <w:pPr>
        <w:ind w:left="426"/>
        <w:rPr>
          <w:rFonts w:eastAsia="Calibri"/>
          <w:szCs w:val="22"/>
        </w:rPr>
      </w:pPr>
    </w:p>
    <w:p w14:paraId="21BBC40F" w14:textId="77777777" w:rsidR="0049013E" w:rsidRPr="001D75FF" w:rsidRDefault="0049013E" w:rsidP="0049013E">
      <w:pPr>
        <w:ind w:left="426"/>
        <w:rPr>
          <w:rFonts w:eastAsia="Calibri"/>
          <w:szCs w:val="22"/>
        </w:rPr>
      </w:pPr>
      <w:r w:rsidRPr="001D75FF">
        <w:rPr>
          <w:rFonts w:eastAsia="Calibri"/>
          <w:szCs w:val="22"/>
        </w:rPr>
        <w:t>Should the ACSC determine that performance meets or exceeds the expected standards then annual progression of pay will be applied until the top pay point of the scale is reached. Once the top pay point is reached pay will remain at this level whilst performance continues to meet or exceed expected standards.</w:t>
      </w:r>
    </w:p>
    <w:p w14:paraId="3B5D27C0" w14:textId="77777777" w:rsidR="0049013E" w:rsidRPr="001D75FF" w:rsidRDefault="0049013E" w:rsidP="0049013E">
      <w:pPr>
        <w:ind w:left="426"/>
        <w:rPr>
          <w:rFonts w:eastAsia="Calibri"/>
          <w:szCs w:val="22"/>
        </w:rPr>
      </w:pPr>
    </w:p>
    <w:p w14:paraId="7FCAC258" w14:textId="77777777" w:rsidR="0049013E" w:rsidRPr="001D75FF" w:rsidRDefault="0049013E" w:rsidP="0049013E">
      <w:pPr>
        <w:ind w:left="426"/>
        <w:rPr>
          <w:rFonts w:eastAsia="Calibri"/>
          <w:szCs w:val="22"/>
        </w:rPr>
      </w:pPr>
      <w:r w:rsidRPr="001D75FF">
        <w:rPr>
          <w:rFonts w:eastAsia="Calibri"/>
          <w:szCs w:val="22"/>
        </w:rPr>
        <w:t xml:space="preserve">Should the ACSC determine that performance is unsatisfactory then </w:t>
      </w:r>
      <w:r>
        <w:rPr>
          <w:rFonts w:eastAsia="Calibri"/>
          <w:szCs w:val="22"/>
        </w:rPr>
        <w:t>consideration will be given to applying the following process relating to pay</w:t>
      </w:r>
      <w:r w:rsidRPr="001D75FF">
        <w:rPr>
          <w:rFonts w:eastAsia="Calibri"/>
          <w:szCs w:val="22"/>
        </w:rPr>
        <w:t>:</w:t>
      </w:r>
    </w:p>
    <w:p w14:paraId="208EA2C1" w14:textId="77777777" w:rsidR="0049013E" w:rsidRPr="001D75FF" w:rsidRDefault="0049013E" w:rsidP="0049013E">
      <w:pPr>
        <w:ind w:left="426" w:hanging="141"/>
        <w:rPr>
          <w:rFonts w:eastAsia="Calibri"/>
          <w:szCs w:val="22"/>
        </w:rPr>
      </w:pPr>
      <w:r w:rsidRPr="001D75FF">
        <w:rPr>
          <w:rFonts w:eastAsia="Calibri"/>
          <w:szCs w:val="22"/>
        </w:rPr>
        <w:t xml:space="preserve">- if the post holder is at the bottom or middle point of the pay scale at the time of the review then there will be no progression to the next pay point until a future review by the ACSC confirms satisfactory performance. This review will normally take place a year later although the ACSC may choose to conduct an interim review at an earlier date if this is appropriate. </w:t>
      </w:r>
    </w:p>
    <w:p w14:paraId="1B069876" w14:textId="77777777" w:rsidR="0049013E" w:rsidRPr="001D75FF" w:rsidRDefault="0049013E" w:rsidP="0049013E">
      <w:pPr>
        <w:ind w:left="426" w:hanging="141"/>
        <w:rPr>
          <w:rFonts w:eastAsia="Calibri"/>
          <w:szCs w:val="22"/>
        </w:rPr>
      </w:pPr>
    </w:p>
    <w:p w14:paraId="6713B23E" w14:textId="77777777" w:rsidR="0049013E" w:rsidRPr="001D75FF" w:rsidRDefault="0049013E" w:rsidP="0049013E">
      <w:pPr>
        <w:ind w:left="426" w:hanging="141"/>
        <w:rPr>
          <w:rFonts w:eastAsia="Calibri"/>
          <w:szCs w:val="22"/>
        </w:rPr>
      </w:pPr>
      <w:r w:rsidRPr="001D75FF">
        <w:rPr>
          <w:rFonts w:eastAsia="Calibri"/>
          <w:szCs w:val="22"/>
        </w:rPr>
        <w:t xml:space="preserve">- if the post holder is at the top point of the pay scale at the time of the </w:t>
      </w:r>
      <w:proofErr w:type="gramStart"/>
      <w:r w:rsidRPr="001D75FF">
        <w:rPr>
          <w:rFonts w:eastAsia="Calibri"/>
          <w:szCs w:val="22"/>
        </w:rPr>
        <w:t>review</w:t>
      </w:r>
      <w:proofErr w:type="gramEnd"/>
      <w:r w:rsidRPr="001D75FF">
        <w:rPr>
          <w:rFonts w:eastAsia="Calibri"/>
          <w:szCs w:val="22"/>
        </w:rPr>
        <w:t xml:space="preserve"> then from the anniversary of the appointment date pay will be reduced to the middle point of the pay scale and held at that point until satisfactory performance is confirmed through a future review which will be undertaken as described above. </w:t>
      </w:r>
    </w:p>
    <w:p w14:paraId="79A9EA62" w14:textId="77777777" w:rsidR="0049013E" w:rsidRPr="001D75FF" w:rsidRDefault="0049013E" w:rsidP="0049013E">
      <w:pPr>
        <w:ind w:left="426"/>
        <w:rPr>
          <w:rFonts w:eastAsia="Calibri"/>
          <w:szCs w:val="22"/>
        </w:rPr>
      </w:pPr>
    </w:p>
    <w:p w14:paraId="0691A718" w14:textId="77777777" w:rsidR="0049013E" w:rsidRPr="001D75FF" w:rsidRDefault="0049013E" w:rsidP="0049013E">
      <w:pPr>
        <w:ind w:left="426"/>
        <w:rPr>
          <w:rFonts w:eastAsia="Calibri"/>
          <w:szCs w:val="22"/>
        </w:rPr>
      </w:pPr>
    </w:p>
    <w:p w14:paraId="1CC3F001" w14:textId="77777777" w:rsidR="0049013E" w:rsidRPr="001D75FF" w:rsidRDefault="0049013E" w:rsidP="0049013E">
      <w:pPr>
        <w:ind w:left="426"/>
        <w:rPr>
          <w:rFonts w:eastAsia="Calibri"/>
          <w:b/>
          <w:szCs w:val="22"/>
        </w:rPr>
      </w:pPr>
      <w:r w:rsidRPr="001D75FF">
        <w:rPr>
          <w:rFonts w:eastAsia="Calibri"/>
          <w:b/>
          <w:szCs w:val="22"/>
        </w:rPr>
        <w:t>3. Assessment of performance and feedback</w:t>
      </w:r>
    </w:p>
    <w:p w14:paraId="23DB1741" w14:textId="77777777" w:rsidR="0049013E" w:rsidRPr="001D75FF" w:rsidRDefault="0049013E" w:rsidP="0049013E">
      <w:pPr>
        <w:ind w:left="426"/>
        <w:rPr>
          <w:rFonts w:eastAsia="Calibri"/>
          <w:szCs w:val="22"/>
        </w:rPr>
      </w:pPr>
    </w:p>
    <w:p w14:paraId="2717D7A1" w14:textId="77777777" w:rsidR="0049013E" w:rsidRPr="001D75FF" w:rsidRDefault="0049013E" w:rsidP="0049013E">
      <w:pPr>
        <w:ind w:left="426"/>
        <w:rPr>
          <w:rFonts w:eastAsia="Calibri"/>
          <w:b/>
          <w:szCs w:val="22"/>
        </w:rPr>
      </w:pPr>
      <w:r w:rsidRPr="001D75FF">
        <w:rPr>
          <w:rFonts w:eastAsia="Calibri"/>
          <w:b/>
          <w:szCs w:val="22"/>
        </w:rPr>
        <w:t>3.1 Assessment by ACSC</w:t>
      </w:r>
    </w:p>
    <w:p w14:paraId="58B80C1C" w14:textId="77777777" w:rsidR="0049013E" w:rsidRPr="001D75FF" w:rsidRDefault="0049013E" w:rsidP="0049013E">
      <w:pPr>
        <w:ind w:left="426"/>
        <w:rPr>
          <w:rFonts w:eastAsia="Calibri"/>
          <w:szCs w:val="22"/>
        </w:rPr>
      </w:pPr>
      <w:r w:rsidRPr="001D75FF">
        <w:rPr>
          <w:rFonts w:eastAsia="Calibri"/>
          <w:szCs w:val="22"/>
        </w:rPr>
        <w:t xml:space="preserve">The annual performance assessment will be undertaken each year by the ACSC. There will be no officer input in the assessment discussion. </w:t>
      </w:r>
    </w:p>
    <w:p w14:paraId="27B57919" w14:textId="77777777" w:rsidR="0049013E" w:rsidRPr="001D75FF" w:rsidRDefault="0049013E" w:rsidP="0049013E">
      <w:pPr>
        <w:ind w:left="426"/>
        <w:rPr>
          <w:rFonts w:eastAsia="Calibri"/>
          <w:szCs w:val="22"/>
        </w:rPr>
      </w:pPr>
    </w:p>
    <w:p w14:paraId="77F36F46" w14:textId="77777777" w:rsidR="0049013E" w:rsidRPr="001D75FF" w:rsidRDefault="0049013E" w:rsidP="0049013E">
      <w:pPr>
        <w:ind w:left="426"/>
        <w:rPr>
          <w:rFonts w:eastAsia="Calibri"/>
          <w:szCs w:val="22"/>
        </w:rPr>
      </w:pPr>
      <w:r w:rsidRPr="001D75FF">
        <w:rPr>
          <w:rFonts w:eastAsia="Calibri"/>
          <w:szCs w:val="22"/>
        </w:rPr>
        <w:t xml:space="preserve">The assessment will be made by the committee against </w:t>
      </w:r>
      <w:proofErr w:type="gramStart"/>
      <w:r w:rsidRPr="001D75FF">
        <w:rPr>
          <w:rFonts w:eastAsia="Calibri"/>
          <w:szCs w:val="22"/>
        </w:rPr>
        <w:t>a number of</w:t>
      </w:r>
      <w:proofErr w:type="gramEnd"/>
      <w:r w:rsidRPr="001D75FF">
        <w:rPr>
          <w:rFonts w:eastAsia="Calibri"/>
          <w:szCs w:val="22"/>
        </w:rPr>
        <w:t xml:space="preserve"> criteria and the Chief Executive’s performance against each criterion will be assessed as being below expectation/ meeting expectation/ exceeding expectation. </w:t>
      </w:r>
    </w:p>
    <w:p w14:paraId="5100BD4D" w14:textId="77777777" w:rsidR="0049013E" w:rsidRPr="001D75FF" w:rsidRDefault="0049013E" w:rsidP="0049013E">
      <w:pPr>
        <w:ind w:left="426"/>
        <w:rPr>
          <w:rFonts w:eastAsia="Calibri"/>
          <w:szCs w:val="22"/>
        </w:rPr>
      </w:pPr>
    </w:p>
    <w:p w14:paraId="246B09F7" w14:textId="77777777" w:rsidR="0049013E" w:rsidRPr="001D75FF" w:rsidRDefault="0049013E" w:rsidP="0049013E">
      <w:pPr>
        <w:ind w:left="426"/>
        <w:rPr>
          <w:rFonts w:eastAsia="Calibri"/>
          <w:szCs w:val="22"/>
        </w:rPr>
      </w:pPr>
      <w:r w:rsidRPr="001D75FF">
        <w:rPr>
          <w:rFonts w:eastAsia="Calibri"/>
          <w:szCs w:val="22"/>
        </w:rPr>
        <w:t xml:space="preserve">As a majority committee view, if performance against each criterion is assessed as meeting or exceeding expectation then pay progression (or maintenance of the top pay point in the scale) will be applied from the anniversary date of appointment for another year.  If performance against any of the criteria is assessed by the ACSC as being below </w:t>
      </w:r>
      <w:proofErr w:type="gramStart"/>
      <w:r w:rsidRPr="001D75FF">
        <w:rPr>
          <w:rFonts w:eastAsia="Calibri"/>
          <w:szCs w:val="22"/>
        </w:rPr>
        <w:t>expectation</w:t>
      </w:r>
      <w:proofErr w:type="gramEnd"/>
      <w:r w:rsidRPr="001D75FF">
        <w:rPr>
          <w:rFonts w:eastAsia="Calibri"/>
          <w:szCs w:val="22"/>
        </w:rPr>
        <w:t xml:space="preserve"> then</w:t>
      </w:r>
      <w:r>
        <w:rPr>
          <w:rFonts w:eastAsia="Calibri"/>
          <w:szCs w:val="22"/>
        </w:rPr>
        <w:t xml:space="preserve"> consideration will be given to the freezing of</w:t>
      </w:r>
      <w:r w:rsidRPr="001D75FF">
        <w:rPr>
          <w:rFonts w:eastAsia="Calibri"/>
          <w:szCs w:val="22"/>
        </w:rPr>
        <w:t xml:space="preserve"> pay at the current pay point or reduced from the top pay point and frozen at the middle pay point as described above. </w:t>
      </w:r>
    </w:p>
    <w:p w14:paraId="396A1E26" w14:textId="77777777" w:rsidR="0049013E" w:rsidRPr="001D75FF" w:rsidRDefault="0049013E" w:rsidP="0049013E">
      <w:pPr>
        <w:ind w:left="426"/>
        <w:rPr>
          <w:rFonts w:eastAsia="Calibri"/>
          <w:szCs w:val="22"/>
        </w:rPr>
      </w:pPr>
    </w:p>
    <w:p w14:paraId="37137458" w14:textId="77777777" w:rsidR="0049013E" w:rsidRPr="001D75FF" w:rsidRDefault="0049013E" w:rsidP="0049013E">
      <w:pPr>
        <w:ind w:left="426"/>
        <w:rPr>
          <w:rFonts w:eastAsia="Calibri"/>
          <w:szCs w:val="22"/>
        </w:rPr>
      </w:pPr>
      <w:r w:rsidRPr="001D75FF">
        <w:rPr>
          <w:rFonts w:eastAsia="Calibri"/>
          <w:szCs w:val="22"/>
        </w:rPr>
        <w:t>If the ACSC determine</w:t>
      </w:r>
      <w:r>
        <w:rPr>
          <w:rFonts w:eastAsia="Calibri"/>
          <w:szCs w:val="22"/>
        </w:rPr>
        <w:t>s</w:t>
      </w:r>
      <w:r w:rsidRPr="001D75FF">
        <w:rPr>
          <w:rFonts w:eastAsia="Calibri"/>
          <w:szCs w:val="22"/>
        </w:rPr>
        <w:t xml:space="preserve"> that performance is below that which is expected then other improvement measures may be applied including formal capability procedures that would mirror in appropriate ways, the general process applied to NJC staff and as described in the Employee Handbook. Before applying such </w:t>
      </w:r>
      <w:proofErr w:type="gramStart"/>
      <w:r w:rsidRPr="001D75FF">
        <w:rPr>
          <w:rFonts w:eastAsia="Calibri"/>
          <w:szCs w:val="22"/>
        </w:rPr>
        <w:t>process</w:t>
      </w:r>
      <w:proofErr w:type="gramEnd"/>
      <w:r w:rsidRPr="001D75FF">
        <w:rPr>
          <w:rFonts w:eastAsia="Calibri"/>
          <w:szCs w:val="22"/>
        </w:rPr>
        <w:t xml:space="preserve"> the ACSC will take appropriate advice from the Monitoring Officer (or Deputy) and the </w:t>
      </w:r>
      <w:r w:rsidR="00EA654F">
        <w:rPr>
          <w:rFonts w:eastAsia="Calibri"/>
          <w:szCs w:val="22"/>
        </w:rPr>
        <w:t>Head of Service</w:t>
      </w:r>
      <w:r w:rsidRPr="001D75FF">
        <w:rPr>
          <w:rFonts w:eastAsia="Calibri"/>
          <w:szCs w:val="22"/>
        </w:rPr>
        <w:t xml:space="preserve"> responsible for HR.</w:t>
      </w:r>
    </w:p>
    <w:p w14:paraId="006313F6" w14:textId="77777777" w:rsidR="0049013E" w:rsidRPr="001D75FF" w:rsidRDefault="0049013E" w:rsidP="0049013E">
      <w:pPr>
        <w:ind w:left="426"/>
        <w:rPr>
          <w:rFonts w:eastAsia="Calibri"/>
          <w:szCs w:val="22"/>
        </w:rPr>
      </w:pPr>
    </w:p>
    <w:p w14:paraId="74017C7C" w14:textId="77777777" w:rsidR="0049013E" w:rsidRPr="001D75FF" w:rsidRDefault="0049013E" w:rsidP="0049013E">
      <w:pPr>
        <w:ind w:left="426"/>
        <w:rPr>
          <w:rFonts w:eastAsia="Calibri"/>
          <w:szCs w:val="22"/>
        </w:rPr>
      </w:pPr>
      <w:r w:rsidRPr="001D75FF">
        <w:rPr>
          <w:rFonts w:eastAsia="Calibri"/>
          <w:szCs w:val="22"/>
        </w:rPr>
        <w:t>The ACSC will consider the Chief Executive’s performance against this list of criteria:</w:t>
      </w:r>
    </w:p>
    <w:p w14:paraId="7811A31F" w14:textId="77777777" w:rsidR="0049013E" w:rsidRPr="001D75FF" w:rsidRDefault="0049013E" w:rsidP="0049013E">
      <w:pPr>
        <w:ind w:left="426"/>
        <w:rPr>
          <w:rFonts w:eastAsia="Calibri"/>
          <w:szCs w:val="22"/>
        </w:rPr>
      </w:pPr>
    </w:p>
    <w:p w14:paraId="57ABD113" w14:textId="77777777" w:rsidR="0049013E" w:rsidRPr="001D75FF" w:rsidRDefault="0049013E" w:rsidP="0049013E">
      <w:pPr>
        <w:spacing w:after="120"/>
        <w:ind w:left="426" w:hanging="142"/>
        <w:rPr>
          <w:rFonts w:eastAsia="Calibri"/>
          <w:szCs w:val="22"/>
        </w:rPr>
      </w:pPr>
      <w:r w:rsidRPr="001D75FF">
        <w:rPr>
          <w:rFonts w:eastAsia="Calibri"/>
          <w:szCs w:val="22"/>
        </w:rPr>
        <w:t xml:space="preserve">- The leadership and management of the Council to achieve high standards of service and performance. </w:t>
      </w:r>
    </w:p>
    <w:p w14:paraId="7580A6A2" w14:textId="77777777" w:rsidR="0049013E" w:rsidRPr="001D75FF" w:rsidRDefault="0049013E" w:rsidP="0049013E">
      <w:pPr>
        <w:spacing w:after="120"/>
        <w:ind w:left="426" w:hanging="142"/>
        <w:rPr>
          <w:rFonts w:eastAsia="Calibri"/>
          <w:szCs w:val="22"/>
        </w:rPr>
      </w:pPr>
      <w:r w:rsidRPr="001D75FF">
        <w:rPr>
          <w:rFonts w:eastAsia="Calibri"/>
          <w:szCs w:val="22"/>
        </w:rPr>
        <w:t>- To provide the necessary support to enable Elected Members to effectively carry out their role.</w:t>
      </w:r>
    </w:p>
    <w:p w14:paraId="638581CC" w14:textId="77777777" w:rsidR="0049013E" w:rsidRPr="001D75FF" w:rsidRDefault="0049013E" w:rsidP="0049013E">
      <w:pPr>
        <w:spacing w:after="120"/>
        <w:ind w:left="426" w:hanging="142"/>
        <w:rPr>
          <w:rFonts w:eastAsia="Calibri"/>
          <w:szCs w:val="22"/>
        </w:rPr>
      </w:pPr>
      <w:r w:rsidRPr="001D75FF">
        <w:rPr>
          <w:rFonts w:eastAsia="Calibri"/>
          <w:szCs w:val="22"/>
        </w:rPr>
        <w:t>- To ensure effective and timely communication and advice is offered to Group Leaders on key matters.</w:t>
      </w:r>
    </w:p>
    <w:p w14:paraId="13D14D26" w14:textId="77777777" w:rsidR="0049013E" w:rsidRPr="001D75FF" w:rsidRDefault="0049013E" w:rsidP="0049013E">
      <w:pPr>
        <w:spacing w:after="120"/>
        <w:ind w:left="426" w:hanging="142"/>
        <w:rPr>
          <w:rFonts w:eastAsia="Calibri"/>
          <w:szCs w:val="22"/>
        </w:rPr>
      </w:pPr>
      <w:r w:rsidRPr="001D75FF">
        <w:rPr>
          <w:rFonts w:eastAsia="Calibri"/>
          <w:szCs w:val="22"/>
        </w:rPr>
        <w:t>- To effectively manage the interface between Elected Members and Senior Officers.</w:t>
      </w:r>
    </w:p>
    <w:p w14:paraId="5F895CB5" w14:textId="77777777" w:rsidR="0049013E" w:rsidRPr="001D75FF" w:rsidRDefault="0049013E" w:rsidP="0049013E">
      <w:pPr>
        <w:spacing w:after="120"/>
        <w:ind w:left="426" w:hanging="142"/>
        <w:rPr>
          <w:rFonts w:eastAsia="Calibri"/>
          <w:szCs w:val="22"/>
        </w:rPr>
      </w:pPr>
      <w:r w:rsidRPr="001D75FF">
        <w:rPr>
          <w:rFonts w:eastAsia="Calibri"/>
          <w:szCs w:val="22"/>
        </w:rPr>
        <w:t>- The development and maintenance of effective partnerships for the benefit of borough residents.</w:t>
      </w:r>
    </w:p>
    <w:p w14:paraId="33B6648C" w14:textId="77777777" w:rsidR="0049013E" w:rsidRPr="001D75FF" w:rsidRDefault="0049013E" w:rsidP="0049013E">
      <w:pPr>
        <w:spacing w:after="120"/>
        <w:ind w:left="426" w:hanging="142"/>
        <w:rPr>
          <w:rFonts w:eastAsia="Calibri"/>
          <w:szCs w:val="22"/>
        </w:rPr>
      </w:pPr>
      <w:r w:rsidRPr="001D75FF">
        <w:rPr>
          <w:rFonts w:eastAsia="Calibri"/>
          <w:szCs w:val="22"/>
        </w:rPr>
        <w:t xml:space="preserve">- To guide and bring forward policy development to ensure the delivery of the Council’s vision and priorities. </w:t>
      </w:r>
    </w:p>
    <w:p w14:paraId="773C0BB3" w14:textId="77777777" w:rsidR="0049013E" w:rsidRPr="001D75FF" w:rsidRDefault="0049013E" w:rsidP="0049013E">
      <w:pPr>
        <w:spacing w:after="120"/>
        <w:ind w:left="426" w:hanging="142"/>
        <w:rPr>
          <w:rFonts w:eastAsia="Calibri"/>
          <w:szCs w:val="22"/>
        </w:rPr>
      </w:pPr>
      <w:r w:rsidRPr="001D75FF">
        <w:rPr>
          <w:rFonts w:eastAsia="Calibri"/>
          <w:szCs w:val="22"/>
        </w:rPr>
        <w:t>- To support Elected Members to engender an appropriate workplace culture that is reflected across the organisation.</w:t>
      </w:r>
    </w:p>
    <w:p w14:paraId="5599BEBF" w14:textId="77777777" w:rsidR="0049013E" w:rsidRPr="001D75FF" w:rsidRDefault="0049013E" w:rsidP="0049013E">
      <w:pPr>
        <w:spacing w:after="120"/>
        <w:ind w:left="426" w:hanging="142"/>
        <w:rPr>
          <w:rFonts w:eastAsia="Calibri"/>
          <w:szCs w:val="22"/>
        </w:rPr>
      </w:pPr>
      <w:r w:rsidRPr="001D75FF">
        <w:rPr>
          <w:rFonts w:eastAsia="Calibri"/>
          <w:szCs w:val="22"/>
        </w:rPr>
        <w:t>- The provision of sound electoral process and practice.</w:t>
      </w:r>
    </w:p>
    <w:p w14:paraId="063794CF" w14:textId="77777777" w:rsidR="0049013E" w:rsidRPr="001D75FF" w:rsidRDefault="0049013E" w:rsidP="0049013E">
      <w:pPr>
        <w:spacing w:after="120"/>
        <w:ind w:left="426" w:hanging="142"/>
        <w:rPr>
          <w:rFonts w:eastAsia="Calibri"/>
          <w:szCs w:val="22"/>
        </w:rPr>
      </w:pPr>
      <w:r w:rsidRPr="001D75FF">
        <w:rPr>
          <w:rFonts w:eastAsia="Calibri"/>
          <w:szCs w:val="22"/>
        </w:rPr>
        <w:t>- How effectively the Council’s services have been delivered within budget and as described within the Gedling Plan.</w:t>
      </w:r>
    </w:p>
    <w:p w14:paraId="1D548080" w14:textId="77777777" w:rsidR="0049013E" w:rsidRPr="001D75FF" w:rsidRDefault="0049013E" w:rsidP="0049013E">
      <w:pPr>
        <w:ind w:left="426" w:hanging="139"/>
        <w:rPr>
          <w:rFonts w:eastAsia="Calibri"/>
          <w:szCs w:val="22"/>
        </w:rPr>
      </w:pPr>
    </w:p>
    <w:p w14:paraId="4DD263EC" w14:textId="77777777" w:rsidR="0049013E" w:rsidRDefault="0049013E" w:rsidP="0049013E">
      <w:pPr>
        <w:ind w:left="426"/>
        <w:rPr>
          <w:rFonts w:eastAsia="Calibri"/>
          <w:szCs w:val="22"/>
        </w:rPr>
      </w:pPr>
      <w:r w:rsidRPr="001D75FF">
        <w:rPr>
          <w:rFonts w:eastAsia="Calibri"/>
          <w:szCs w:val="22"/>
        </w:rPr>
        <w:t xml:space="preserve">These criteria will be assessed by the ACSC as a whole and a majority view reached. In addition to the assessment of these criteria, the committee will also identify expectations for the delivery of key objectives or tasks during the following year to which it wishes to draw particular attention, together with any development needs that are perceived for the Chief Executive.  A simple form (appendix A) will be used to summarise the committee’s majority view. This will be used as the basis on which feedback will be given and the form will be stored on the Chief Executive’s personal file. </w:t>
      </w:r>
      <w:r>
        <w:rPr>
          <w:rFonts w:eastAsia="Calibri"/>
          <w:szCs w:val="22"/>
        </w:rPr>
        <w:t xml:space="preserve">The assessment criteria are drawn from the post’s job description; these criteria may be altered by the ACSC to reflect changes to the job requirements of the post should they change over time. </w:t>
      </w:r>
    </w:p>
    <w:p w14:paraId="1B504222" w14:textId="77777777" w:rsidR="0049013E" w:rsidRDefault="0049013E" w:rsidP="0049013E">
      <w:pPr>
        <w:ind w:left="426"/>
        <w:rPr>
          <w:rFonts w:eastAsia="Calibri"/>
          <w:szCs w:val="22"/>
        </w:rPr>
      </w:pPr>
    </w:p>
    <w:p w14:paraId="7105CD51" w14:textId="77777777" w:rsidR="0049013E" w:rsidRPr="001D75FF" w:rsidRDefault="0049013E" w:rsidP="0049013E">
      <w:pPr>
        <w:ind w:left="426"/>
        <w:rPr>
          <w:rFonts w:eastAsia="Calibri"/>
          <w:szCs w:val="22"/>
        </w:rPr>
      </w:pPr>
    </w:p>
    <w:p w14:paraId="06A29AC2" w14:textId="77777777" w:rsidR="0049013E" w:rsidRPr="001D75FF" w:rsidRDefault="0049013E" w:rsidP="0049013E">
      <w:pPr>
        <w:ind w:left="426"/>
        <w:rPr>
          <w:rFonts w:eastAsia="Calibri"/>
          <w:b/>
          <w:szCs w:val="22"/>
        </w:rPr>
      </w:pPr>
      <w:r w:rsidRPr="001D75FF">
        <w:rPr>
          <w:rFonts w:eastAsia="Calibri"/>
          <w:b/>
          <w:szCs w:val="22"/>
        </w:rPr>
        <w:t>3.2 Feedback to the Chief Executive</w:t>
      </w:r>
    </w:p>
    <w:p w14:paraId="2717C18C" w14:textId="77777777" w:rsidR="0049013E" w:rsidRPr="001D75FF" w:rsidRDefault="0049013E" w:rsidP="0049013E">
      <w:pPr>
        <w:ind w:left="426"/>
        <w:rPr>
          <w:rFonts w:eastAsia="Calibri"/>
          <w:szCs w:val="22"/>
        </w:rPr>
      </w:pPr>
      <w:r w:rsidRPr="001D75FF">
        <w:rPr>
          <w:rFonts w:eastAsia="Calibri"/>
          <w:szCs w:val="22"/>
        </w:rPr>
        <w:t xml:space="preserve">The views of the ACSC will be fed back in person to the Chief Executive by the Leader, Deputy </w:t>
      </w:r>
      <w:proofErr w:type="gramStart"/>
      <w:r w:rsidRPr="001D75FF">
        <w:rPr>
          <w:rFonts w:eastAsia="Calibri"/>
          <w:szCs w:val="22"/>
        </w:rPr>
        <w:t>Leader</w:t>
      </w:r>
      <w:proofErr w:type="gramEnd"/>
      <w:r w:rsidRPr="001D75FF">
        <w:rPr>
          <w:rFonts w:eastAsia="Calibri"/>
          <w:szCs w:val="22"/>
        </w:rPr>
        <w:t xml:space="preserve"> and the Opposition Leader. </w:t>
      </w:r>
    </w:p>
    <w:p w14:paraId="5568CCC2" w14:textId="77777777" w:rsidR="0049013E" w:rsidRPr="001D75FF" w:rsidRDefault="0049013E" w:rsidP="0049013E">
      <w:pPr>
        <w:ind w:left="426"/>
        <w:rPr>
          <w:rFonts w:eastAsia="Calibri"/>
          <w:szCs w:val="22"/>
        </w:rPr>
      </w:pPr>
    </w:p>
    <w:p w14:paraId="30841175" w14:textId="77777777" w:rsidR="0049013E" w:rsidRPr="001D75FF" w:rsidRDefault="0049013E" w:rsidP="0049013E">
      <w:pPr>
        <w:ind w:left="426"/>
        <w:rPr>
          <w:rFonts w:eastAsia="Calibri"/>
          <w:szCs w:val="22"/>
        </w:rPr>
      </w:pPr>
      <w:r w:rsidRPr="001D75FF">
        <w:rPr>
          <w:rFonts w:eastAsia="Calibri"/>
          <w:szCs w:val="22"/>
        </w:rPr>
        <w:t>This feedback will confirm:</w:t>
      </w:r>
    </w:p>
    <w:p w14:paraId="559E8D52" w14:textId="77777777" w:rsidR="0049013E" w:rsidRPr="001D75FF" w:rsidRDefault="0049013E" w:rsidP="0049013E">
      <w:pPr>
        <w:ind w:left="426"/>
        <w:rPr>
          <w:rFonts w:eastAsia="Calibri"/>
          <w:szCs w:val="22"/>
        </w:rPr>
      </w:pPr>
    </w:p>
    <w:p w14:paraId="3EA05822" w14:textId="77777777" w:rsidR="0049013E" w:rsidRPr="001D75FF" w:rsidRDefault="0049013E" w:rsidP="0049013E">
      <w:pPr>
        <w:spacing w:after="120"/>
        <w:ind w:left="426" w:hanging="142"/>
        <w:rPr>
          <w:rFonts w:eastAsia="Calibri"/>
          <w:szCs w:val="22"/>
        </w:rPr>
      </w:pPr>
      <w:r w:rsidRPr="001D75FF">
        <w:rPr>
          <w:rFonts w:eastAsia="Calibri"/>
          <w:szCs w:val="22"/>
        </w:rPr>
        <w:t xml:space="preserve">- The criteria against which performance is meeting or exceeding expectation with examples given of observed behaviours, </w:t>
      </w:r>
      <w:proofErr w:type="gramStart"/>
      <w:r w:rsidRPr="001D75FF">
        <w:rPr>
          <w:rFonts w:eastAsia="Calibri"/>
          <w:szCs w:val="22"/>
        </w:rPr>
        <w:t>actions</w:t>
      </w:r>
      <w:proofErr w:type="gramEnd"/>
      <w:r w:rsidRPr="001D75FF">
        <w:rPr>
          <w:rFonts w:eastAsia="Calibri"/>
          <w:szCs w:val="22"/>
        </w:rPr>
        <w:t xml:space="preserve"> or outcomes where possible and appropriate.</w:t>
      </w:r>
    </w:p>
    <w:p w14:paraId="2861E5EC" w14:textId="77777777" w:rsidR="0049013E" w:rsidRPr="001D75FF" w:rsidRDefault="0049013E" w:rsidP="0049013E">
      <w:pPr>
        <w:spacing w:after="120"/>
        <w:ind w:left="426" w:hanging="142"/>
        <w:rPr>
          <w:rFonts w:eastAsia="Calibri"/>
          <w:szCs w:val="22"/>
        </w:rPr>
      </w:pPr>
      <w:r w:rsidRPr="001D75FF">
        <w:rPr>
          <w:rFonts w:eastAsia="Calibri"/>
          <w:szCs w:val="22"/>
        </w:rPr>
        <w:t xml:space="preserve">- The criteria against which performance is below that which is expected. The “performance gap” will be specified and detail of future expectations will be made clear. If more of a formal capability procedure is to be applied, this will be made clear following appropriate officer advice. </w:t>
      </w:r>
    </w:p>
    <w:p w14:paraId="4EBE52D8" w14:textId="77777777" w:rsidR="0049013E" w:rsidRPr="001D75FF" w:rsidRDefault="0049013E" w:rsidP="0049013E">
      <w:pPr>
        <w:spacing w:after="120"/>
        <w:ind w:left="426" w:hanging="142"/>
        <w:rPr>
          <w:rFonts w:eastAsia="Calibri"/>
          <w:szCs w:val="22"/>
        </w:rPr>
      </w:pPr>
      <w:r w:rsidRPr="001D75FF">
        <w:rPr>
          <w:rFonts w:eastAsia="Calibri"/>
          <w:szCs w:val="22"/>
        </w:rPr>
        <w:t>- The pay point to be applied from the anniversary of appointment for the following year (or until an interim review if this is to be sooner).</w:t>
      </w:r>
    </w:p>
    <w:p w14:paraId="767D0693" w14:textId="77777777" w:rsidR="0049013E" w:rsidRPr="001D75FF" w:rsidRDefault="0049013E" w:rsidP="0049013E">
      <w:pPr>
        <w:spacing w:after="120"/>
        <w:ind w:left="426" w:hanging="142"/>
        <w:rPr>
          <w:rFonts w:eastAsia="Calibri"/>
          <w:szCs w:val="22"/>
        </w:rPr>
      </w:pPr>
      <w:r w:rsidRPr="001D75FF">
        <w:rPr>
          <w:rFonts w:eastAsia="Calibri"/>
          <w:szCs w:val="22"/>
        </w:rPr>
        <w:t>- Expectations for delivery by the Chief Executive of key objectives or tasks over the coming year to which the ACSC wishes to draw particular attention; these may be existing or newly identified.</w:t>
      </w:r>
    </w:p>
    <w:p w14:paraId="35723B00" w14:textId="77777777" w:rsidR="0049013E" w:rsidRPr="001D75FF" w:rsidRDefault="0049013E" w:rsidP="0049013E">
      <w:pPr>
        <w:spacing w:after="120"/>
        <w:ind w:left="426" w:hanging="142"/>
        <w:rPr>
          <w:rFonts w:eastAsia="Calibri"/>
          <w:szCs w:val="22"/>
        </w:rPr>
      </w:pPr>
      <w:r w:rsidRPr="001D75FF">
        <w:rPr>
          <w:rFonts w:eastAsia="Calibri"/>
          <w:szCs w:val="22"/>
        </w:rPr>
        <w:t xml:space="preserve">- Through discussion with the Chief Executive what, if any, development needs exist and how might these be effectively addressed. Further personal or professional development may be identified by Elected Members or by the Chief Executive even if performance is already high. As appropriate, a development plan will be agreed in principle.  </w:t>
      </w:r>
    </w:p>
    <w:p w14:paraId="7A4E43BE" w14:textId="77777777" w:rsidR="0049013E" w:rsidRPr="001D75FF" w:rsidRDefault="0049013E" w:rsidP="0049013E">
      <w:pPr>
        <w:spacing w:after="120"/>
        <w:ind w:left="426" w:hanging="142"/>
        <w:rPr>
          <w:rFonts w:eastAsia="Calibri"/>
          <w:szCs w:val="22"/>
        </w:rPr>
      </w:pPr>
    </w:p>
    <w:p w14:paraId="2789BA93" w14:textId="77777777" w:rsidR="0049013E" w:rsidRPr="001D75FF" w:rsidRDefault="0049013E" w:rsidP="0049013E">
      <w:pPr>
        <w:ind w:left="426"/>
        <w:rPr>
          <w:rFonts w:eastAsia="Calibri"/>
          <w:b/>
          <w:szCs w:val="22"/>
        </w:rPr>
      </w:pPr>
      <w:r w:rsidRPr="001D75FF">
        <w:rPr>
          <w:rFonts w:eastAsia="Calibri"/>
          <w:b/>
          <w:szCs w:val="22"/>
        </w:rPr>
        <w:t>4. General principles</w:t>
      </w:r>
    </w:p>
    <w:p w14:paraId="69C75844" w14:textId="77777777" w:rsidR="0049013E" w:rsidRPr="001D75FF" w:rsidRDefault="0049013E" w:rsidP="0049013E">
      <w:pPr>
        <w:ind w:left="426"/>
        <w:rPr>
          <w:rFonts w:eastAsia="Calibri"/>
          <w:szCs w:val="22"/>
        </w:rPr>
      </w:pPr>
      <w:r w:rsidRPr="001D75FF">
        <w:rPr>
          <w:rFonts w:eastAsia="Calibri"/>
          <w:szCs w:val="22"/>
        </w:rPr>
        <w:t xml:space="preserve">The meeting at which feedback is given will be discursive in nature with opportunity for the Chief Executive to identify their own examples of good performance and achievement and to fully explore areas for improvement suggested by the ACSC to ensure that there is full understanding of expectations. </w:t>
      </w:r>
    </w:p>
    <w:p w14:paraId="1F9211C1" w14:textId="77777777" w:rsidR="0049013E" w:rsidRPr="001D75FF" w:rsidRDefault="0049013E" w:rsidP="0049013E">
      <w:pPr>
        <w:ind w:left="426"/>
        <w:rPr>
          <w:rFonts w:eastAsia="Calibri"/>
          <w:szCs w:val="22"/>
        </w:rPr>
      </w:pPr>
    </w:p>
    <w:p w14:paraId="41BFE5EA" w14:textId="77777777" w:rsidR="0049013E" w:rsidRPr="001D75FF" w:rsidRDefault="0049013E" w:rsidP="0049013E">
      <w:pPr>
        <w:ind w:left="426"/>
        <w:rPr>
          <w:rFonts w:eastAsia="Calibri"/>
          <w:szCs w:val="22"/>
        </w:rPr>
      </w:pPr>
      <w:r w:rsidRPr="001D75FF">
        <w:rPr>
          <w:rFonts w:eastAsia="Calibri"/>
          <w:szCs w:val="22"/>
        </w:rPr>
        <w:t>The meeting of the ACSC to discuss performance, and the feedback meeting with the Chief Executive will both be treated as confidential.</w:t>
      </w:r>
    </w:p>
    <w:p w14:paraId="79E422D0" w14:textId="77777777" w:rsidR="0049013E" w:rsidRPr="001D75FF" w:rsidRDefault="0049013E" w:rsidP="0049013E">
      <w:pPr>
        <w:ind w:left="426"/>
        <w:rPr>
          <w:rFonts w:eastAsia="Calibri"/>
          <w:szCs w:val="22"/>
        </w:rPr>
      </w:pPr>
    </w:p>
    <w:p w14:paraId="4018797A" w14:textId="77777777" w:rsidR="0049013E" w:rsidRPr="001D75FF" w:rsidRDefault="0049013E" w:rsidP="0049013E">
      <w:pPr>
        <w:ind w:left="426"/>
        <w:rPr>
          <w:rFonts w:eastAsia="Calibri"/>
          <w:szCs w:val="22"/>
        </w:rPr>
      </w:pPr>
      <w:r w:rsidRPr="001D75FF">
        <w:rPr>
          <w:rFonts w:eastAsia="Calibri"/>
          <w:szCs w:val="22"/>
        </w:rPr>
        <w:t>There is no further right of internal appeal by the Chief Executive against any decision taken by the ACSC in respect to the Chief Executive’s performance or pay.</w:t>
      </w:r>
    </w:p>
    <w:p w14:paraId="05F9172A" w14:textId="77777777" w:rsidR="0049013E" w:rsidRPr="001D75FF" w:rsidRDefault="0049013E" w:rsidP="0049013E">
      <w:pPr>
        <w:ind w:left="426"/>
        <w:rPr>
          <w:rFonts w:eastAsia="Calibri"/>
          <w:szCs w:val="22"/>
        </w:rPr>
      </w:pPr>
    </w:p>
    <w:p w14:paraId="3FFA5191" w14:textId="77777777" w:rsidR="0049013E" w:rsidRPr="001D75FF" w:rsidRDefault="0049013E" w:rsidP="0049013E">
      <w:pPr>
        <w:ind w:left="426"/>
        <w:rPr>
          <w:rFonts w:eastAsia="Calibri"/>
          <w:szCs w:val="22"/>
        </w:rPr>
      </w:pPr>
    </w:p>
    <w:p w14:paraId="01180112" w14:textId="77777777" w:rsidR="0049013E" w:rsidRDefault="0049013E" w:rsidP="0049013E">
      <w:pPr>
        <w:rPr>
          <w:rFonts w:eastAsia="Calibri"/>
          <w:szCs w:val="22"/>
        </w:rPr>
      </w:pPr>
    </w:p>
    <w:p w14:paraId="10EDB767" w14:textId="77777777" w:rsidR="0049013E" w:rsidRDefault="0049013E" w:rsidP="0049013E">
      <w:pPr>
        <w:rPr>
          <w:rFonts w:eastAsia="Calibri"/>
          <w:szCs w:val="22"/>
        </w:rPr>
      </w:pPr>
    </w:p>
    <w:p w14:paraId="0AA1B62D" w14:textId="77777777" w:rsidR="0049013E" w:rsidRDefault="0049013E" w:rsidP="0049013E">
      <w:pPr>
        <w:rPr>
          <w:rFonts w:eastAsia="Calibri"/>
          <w:szCs w:val="22"/>
        </w:rPr>
      </w:pPr>
    </w:p>
    <w:p w14:paraId="78D68D76" w14:textId="77777777" w:rsidR="0049013E" w:rsidRDefault="0049013E" w:rsidP="0049013E">
      <w:pPr>
        <w:rPr>
          <w:rFonts w:eastAsia="Calibri"/>
          <w:szCs w:val="22"/>
        </w:rPr>
      </w:pPr>
    </w:p>
    <w:p w14:paraId="59FDD766" w14:textId="77777777" w:rsidR="0049013E" w:rsidRDefault="0049013E" w:rsidP="0049013E">
      <w:pPr>
        <w:rPr>
          <w:rFonts w:eastAsia="Calibri"/>
          <w:szCs w:val="22"/>
        </w:rPr>
      </w:pPr>
    </w:p>
    <w:p w14:paraId="7A3D3918" w14:textId="77777777" w:rsidR="0049013E" w:rsidRDefault="0049013E" w:rsidP="0049013E">
      <w:pPr>
        <w:rPr>
          <w:rFonts w:eastAsia="Calibri"/>
          <w:szCs w:val="22"/>
        </w:rPr>
      </w:pPr>
    </w:p>
    <w:p w14:paraId="19C45425" w14:textId="77777777" w:rsidR="0049013E" w:rsidRDefault="0049013E" w:rsidP="0049013E">
      <w:pPr>
        <w:rPr>
          <w:rFonts w:eastAsia="Calibri"/>
          <w:szCs w:val="22"/>
        </w:rPr>
        <w:sectPr w:rsidR="0049013E" w:rsidSect="000B7EF4">
          <w:pgSz w:w="11906" w:h="16838"/>
          <w:pgMar w:top="993" w:right="1440" w:bottom="1440" w:left="1440" w:header="708" w:footer="708" w:gutter="0"/>
          <w:cols w:space="708"/>
          <w:docGrid w:linePitch="360"/>
        </w:sectPr>
      </w:pPr>
    </w:p>
    <w:p w14:paraId="1BDCBDD3" w14:textId="77777777" w:rsidR="0049013E" w:rsidRPr="001D75FF" w:rsidRDefault="0049013E" w:rsidP="0049013E">
      <w:pPr>
        <w:jc w:val="right"/>
        <w:rPr>
          <w:rFonts w:eastAsia="Calibri"/>
          <w:szCs w:val="22"/>
        </w:rPr>
      </w:pPr>
      <w:r w:rsidRPr="001D75FF">
        <w:rPr>
          <w:rFonts w:eastAsia="Calibri"/>
          <w:szCs w:val="22"/>
        </w:rPr>
        <w:t>Appendix A</w:t>
      </w:r>
    </w:p>
    <w:p w14:paraId="7E6B0BD5" w14:textId="77777777" w:rsidR="0049013E" w:rsidRPr="001D75FF" w:rsidRDefault="0049013E" w:rsidP="0049013E">
      <w:pPr>
        <w:rPr>
          <w:rFonts w:eastAsia="Calibri"/>
          <w:b/>
          <w:sz w:val="32"/>
          <w:szCs w:val="32"/>
        </w:rPr>
      </w:pPr>
      <w:r w:rsidRPr="001D75FF">
        <w:rPr>
          <w:rFonts w:eastAsia="Calibri"/>
          <w:b/>
          <w:sz w:val="32"/>
          <w:szCs w:val="32"/>
        </w:rPr>
        <w:t>Performance and Pay Assessment of Chief Executive</w:t>
      </w:r>
    </w:p>
    <w:p w14:paraId="6BB1F5D1" w14:textId="77777777" w:rsidR="0049013E" w:rsidRPr="001D75FF" w:rsidRDefault="0049013E" w:rsidP="0049013E">
      <w:pPr>
        <w:rPr>
          <w:rFonts w:eastAsia="Calibri"/>
          <w:b/>
          <w:szCs w:val="22"/>
        </w:rPr>
      </w:pPr>
      <w:r w:rsidRPr="001D75FF">
        <w:rPr>
          <w:rFonts w:eastAsia="Calibri"/>
          <w:b/>
          <w:szCs w:val="22"/>
        </w:rPr>
        <w:t>Appointments and Conditions of Service Committee Summary Assessment</w:t>
      </w:r>
    </w:p>
    <w:p w14:paraId="2530547B" w14:textId="77777777" w:rsidR="0049013E" w:rsidRPr="001D75FF" w:rsidRDefault="0049013E" w:rsidP="0049013E">
      <w:pPr>
        <w:rPr>
          <w:rFonts w:eastAsia="Calibri"/>
          <w:b/>
          <w:szCs w:val="22"/>
        </w:rPr>
      </w:pPr>
      <w:r w:rsidRPr="001D75FF">
        <w:rPr>
          <w:rFonts w:eastAsia="Calibri"/>
          <w:b/>
          <w:szCs w:val="22"/>
        </w:rPr>
        <w:t>Date:</w:t>
      </w:r>
    </w:p>
    <w:p w14:paraId="4A25A868" w14:textId="77777777" w:rsidR="0049013E" w:rsidRPr="001D75FF" w:rsidRDefault="0049013E" w:rsidP="0049013E">
      <w:pPr>
        <w:rPr>
          <w:rFonts w:eastAsia="Calibri"/>
          <w:szCs w:val="22"/>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276"/>
        <w:gridCol w:w="1276"/>
        <w:gridCol w:w="1276"/>
        <w:gridCol w:w="7087"/>
      </w:tblGrid>
      <w:tr w:rsidR="0049013E" w:rsidRPr="001D75FF" w14:paraId="4764B23D" w14:textId="77777777" w:rsidTr="000B7EF4">
        <w:tc>
          <w:tcPr>
            <w:tcW w:w="3969" w:type="dxa"/>
            <w:vMerge w:val="restart"/>
            <w:shd w:val="clear" w:color="auto" w:fill="auto"/>
          </w:tcPr>
          <w:p w14:paraId="21BA80B0" w14:textId="77777777" w:rsidR="0049013E" w:rsidRPr="001D75FF" w:rsidRDefault="0049013E" w:rsidP="000B7EF4">
            <w:pPr>
              <w:rPr>
                <w:rFonts w:eastAsia="Calibri"/>
                <w:b/>
                <w:szCs w:val="22"/>
              </w:rPr>
            </w:pPr>
            <w:r w:rsidRPr="001D75FF">
              <w:rPr>
                <w:rFonts w:eastAsia="Calibri"/>
                <w:szCs w:val="22"/>
              </w:rPr>
              <w:t xml:space="preserve">  </w:t>
            </w:r>
            <w:r w:rsidRPr="001D75FF">
              <w:rPr>
                <w:rFonts w:eastAsia="Calibri"/>
                <w:b/>
                <w:szCs w:val="22"/>
              </w:rPr>
              <w:t>Criteria</w:t>
            </w:r>
          </w:p>
        </w:tc>
        <w:tc>
          <w:tcPr>
            <w:tcW w:w="3828" w:type="dxa"/>
            <w:gridSpan w:val="3"/>
            <w:shd w:val="clear" w:color="auto" w:fill="auto"/>
          </w:tcPr>
          <w:p w14:paraId="0AE7B0CA" w14:textId="77777777" w:rsidR="0049013E" w:rsidRPr="001D75FF" w:rsidRDefault="0049013E" w:rsidP="000B7EF4">
            <w:pPr>
              <w:jc w:val="center"/>
              <w:rPr>
                <w:rFonts w:eastAsia="Calibri"/>
                <w:b/>
                <w:sz w:val="20"/>
              </w:rPr>
            </w:pPr>
            <w:r w:rsidRPr="001D75FF">
              <w:rPr>
                <w:rFonts w:eastAsia="Calibri"/>
                <w:b/>
                <w:sz w:val="20"/>
              </w:rPr>
              <w:t>Assessed as (tick one):</w:t>
            </w:r>
          </w:p>
        </w:tc>
        <w:tc>
          <w:tcPr>
            <w:tcW w:w="7087" w:type="dxa"/>
            <w:vMerge w:val="restart"/>
            <w:shd w:val="clear" w:color="auto" w:fill="auto"/>
          </w:tcPr>
          <w:p w14:paraId="7575E87B" w14:textId="77777777" w:rsidR="0049013E" w:rsidRPr="001D75FF" w:rsidRDefault="0049013E" w:rsidP="000B7EF4">
            <w:pPr>
              <w:rPr>
                <w:rFonts w:eastAsia="Calibri"/>
                <w:szCs w:val="22"/>
              </w:rPr>
            </w:pPr>
            <w:r w:rsidRPr="001D75FF">
              <w:rPr>
                <w:rFonts w:eastAsia="Calibri"/>
                <w:b/>
                <w:szCs w:val="22"/>
              </w:rPr>
              <w:t xml:space="preserve">Additional and supporting comments </w:t>
            </w:r>
          </w:p>
        </w:tc>
      </w:tr>
      <w:tr w:rsidR="0049013E" w:rsidRPr="001D75FF" w14:paraId="48D95794" w14:textId="77777777" w:rsidTr="000B7EF4">
        <w:tc>
          <w:tcPr>
            <w:tcW w:w="3969" w:type="dxa"/>
            <w:vMerge/>
            <w:shd w:val="clear" w:color="auto" w:fill="auto"/>
          </w:tcPr>
          <w:p w14:paraId="7D16BC3A" w14:textId="77777777" w:rsidR="0049013E" w:rsidRPr="001D75FF" w:rsidRDefault="0049013E" w:rsidP="000B7EF4">
            <w:pPr>
              <w:rPr>
                <w:rFonts w:eastAsia="Calibri"/>
                <w:szCs w:val="22"/>
              </w:rPr>
            </w:pPr>
          </w:p>
        </w:tc>
        <w:tc>
          <w:tcPr>
            <w:tcW w:w="1276" w:type="dxa"/>
            <w:shd w:val="clear" w:color="auto" w:fill="auto"/>
          </w:tcPr>
          <w:p w14:paraId="6C3FF6C0" w14:textId="77777777" w:rsidR="0049013E" w:rsidRPr="001D75FF" w:rsidRDefault="0049013E" w:rsidP="000B7EF4">
            <w:pPr>
              <w:rPr>
                <w:rFonts w:eastAsia="Calibri"/>
                <w:sz w:val="20"/>
              </w:rPr>
            </w:pPr>
            <w:r w:rsidRPr="001D75FF">
              <w:rPr>
                <w:rFonts w:eastAsia="Calibri"/>
                <w:sz w:val="20"/>
              </w:rPr>
              <w:t>Below expectation</w:t>
            </w:r>
          </w:p>
        </w:tc>
        <w:tc>
          <w:tcPr>
            <w:tcW w:w="1276" w:type="dxa"/>
            <w:shd w:val="clear" w:color="auto" w:fill="auto"/>
          </w:tcPr>
          <w:p w14:paraId="6CEA235A" w14:textId="77777777" w:rsidR="0049013E" w:rsidRPr="001D75FF" w:rsidRDefault="0049013E" w:rsidP="000B7EF4">
            <w:pPr>
              <w:rPr>
                <w:rFonts w:eastAsia="Calibri"/>
                <w:sz w:val="20"/>
              </w:rPr>
            </w:pPr>
            <w:r w:rsidRPr="001D75FF">
              <w:rPr>
                <w:rFonts w:eastAsia="Calibri"/>
                <w:sz w:val="20"/>
              </w:rPr>
              <w:t>Meeting expectation</w:t>
            </w:r>
          </w:p>
        </w:tc>
        <w:tc>
          <w:tcPr>
            <w:tcW w:w="1276" w:type="dxa"/>
            <w:shd w:val="clear" w:color="auto" w:fill="auto"/>
          </w:tcPr>
          <w:p w14:paraId="6D5B1A6B" w14:textId="77777777" w:rsidR="0049013E" w:rsidRPr="001D75FF" w:rsidRDefault="0049013E" w:rsidP="000B7EF4">
            <w:pPr>
              <w:rPr>
                <w:rFonts w:eastAsia="Calibri"/>
                <w:sz w:val="20"/>
              </w:rPr>
            </w:pPr>
            <w:r w:rsidRPr="001D75FF">
              <w:rPr>
                <w:rFonts w:eastAsia="Calibri"/>
                <w:sz w:val="20"/>
              </w:rPr>
              <w:t xml:space="preserve">Exceeding expectation </w:t>
            </w:r>
          </w:p>
        </w:tc>
        <w:tc>
          <w:tcPr>
            <w:tcW w:w="7087" w:type="dxa"/>
            <w:vMerge/>
            <w:shd w:val="clear" w:color="auto" w:fill="auto"/>
          </w:tcPr>
          <w:p w14:paraId="5B117C45" w14:textId="77777777" w:rsidR="0049013E" w:rsidRPr="001D75FF" w:rsidRDefault="0049013E" w:rsidP="000B7EF4">
            <w:pPr>
              <w:rPr>
                <w:rFonts w:eastAsia="Calibri"/>
                <w:szCs w:val="22"/>
              </w:rPr>
            </w:pPr>
          </w:p>
        </w:tc>
      </w:tr>
      <w:tr w:rsidR="0049013E" w:rsidRPr="001D75FF" w14:paraId="77E9B1E3" w14:textId="77777777" w:rsidTr="000B7EF4">
        <w:tc>
          <w:tcPr>
            <w:tcW w:w="3969" w:type="dxa"/>
            <w:shd w:val="clear" w:color="auto" w:fill="auto"/>
          </w:tcPr>
          <w:p w14:paraId="5501B3EA" w14:textId="77777777" w:rsidR="0049013E" w:rsidRPr="00541B83" w:rsidRDefault="0049013E" w:rsidP="000B7EF4">
            <w:pPr>
              <w:rPr>
                <w:rFonts w:eastAsia="Calibri"/>
                <w:sz w:val="20"/>
              </w:rPr>
            </w:pPr>
            <w:r w:rsidRPr="00541B83">
              <w:rPr>
                <w:rFonts w:eastAsia="Calibri"/>
                <w:sz w:val="20"/>
              </w:rPr>
              <w:t>The leadership and management of the Council to achieve high standards of service and performance.</w:t>
            </w:r>
          </w:p>
        </w:tc>
        <w:tc>
          <w:tcPr>
            <w:tcW w:w="1276" w:type="dxa"/>
            <w:shd w:val="clear" w:color="auto" w:fill="auto"/>
          </w:tcPr>
          <w:p w14:paraId="3D5FE81B" w14:textId="77777777" w:rsidR="0049013E" w:rsidRPr="001D75FF" w:rsidRDefault="0049013E" w:rsidP="000B7EF4">
            <w:pPr>
              <w:rPr>
                <w:rFonts w:eastAsia="Calibri"/>
                <w:szCs w:val="22"/>
              </w:rPr>
            </w:pPr>
          </w:p>
        </w:tc>
        <w:tc>
          <w:tcPr>
            <w:tcW w:w="1276" w:type="dxa"/>
            <w:shd w:val="clear" w:color="auto" w:fill="auto"/>
          </w:tcPr>
          <w:p w14:paraId="23583451" w14:textId="77777777" w:rsidR="0049013E" w:rsidRPr="001D75FF" w:rsidRDefault="0049013E" w:rsidP="000B7EF4">
            <w:pPr>
              <w:rPr>
                <w:rFonts w:eastAsia="Calibri"/>
                <w:szCs w:val="22"/>
              </w:rPr>
            </w:pPr>
          </w:p>
        </w:tc>
        <w:tc>
          <w:tcPr>
            <w:tcW w:w="1276" w:type="dxa"/>
            <w:shd w:val="clear" w:color="auto" w:fill="auto"/>
          </w:tcPr>
          <w:p w14:paraId="09DBDF78" w14:textId="77777777" w:rsidR="0049013E" w:rsidRPr="001D75FF" w:rsidRDefault="0049013E" w:rsidP="000B7EF4">
            <w:pPr>
              <w:rPr>
                <w:rFonts w:eastAsia="Calibri"/>
                <w:szCs w:val="22"/>
              </w:rPr>
            </w:pPr>
          </w:p>
        </w:tc>
        <w:tc>
          <w:tcPr>
            <w:tcW w:w="7087" w:type="dxa"/>
            <w:shd w:val="clear" w:color="auto" w:fill="auto"/>
          </w:tcPr>
          <w:p w14:paraId="5318C27A" w14:textId="77777777" w:rsidR="0049013E" w:rsidRPr="001D75FF" w:rsidRDefault="0049013E" w:rsidP="000B7EF4">
            <w:pPr>
              <w:rPr>
                <w:rFonts w:eastAsia="Calibri"/>
                <w:szCs w:val="22"/>
              </w:rPr>
            </w:pPr>
          </w:p>
        </w:tc>
      </w:tr>
      <w:tr w:rsidR="0049013E" w:rsidRPr="001D75FF" w14:paraId="6B53450A" w14:textId="77777777" w:rsidTr="000B7EF4">
        <w:tc>
          <w:tcPr>
            <w:tcW w:w="3969" w:type="dxa"/>
            <w:shd w:val="clear" w:color="auto" w:fill="auto"/>
          </w:tcPr>
          <w:p w14:paraId="5B5A3D0F" w14:textId="77777777" w:rsidR="0049013E" w:rsidRPr="00541B83" w:rsidRDefault="0049013E" w:rsidP="000B7EF4">
            <w:pPr>
              <w:rPr>
                <w:rFonts w:eastAsia="Calibri"/>
                <w:sz w:val="20"/>
              </w:rPr>
            </w:pPr>
            <w:r w:rsidRPr="00541B83">
              <w:rPr>
                <w:rFonts w:eastAsia="Calibri"/>
                <w:sz w:val="20"/>
              </w:rPr>
              <w:t>To provide the necessary support to enable Elected Members to effectively carry out their role.</w:t>
            </w:r>
          </w:p>
        </w:tc>
        <w:tc>
          <w:tcPr>
            <w:tcW w:w="1276" w:type="dxa"/>
            <w:shd w:val="clear" w:color="auto" w:fill="auto"/>
          </w:tcPr>
          <w:p w14:paraId="2FE5625C" w14:textId="77777777" w:rsidR="0049013E" w:rsidRPr="001D75FF" w:rsidRDefault="0049013E" w:rsidP="000B7EF4">
            <w:pPr>
              <w:rPr>
                <w:rFonts w:eastAsia="Calibri"/>
                <w:szCs w:val="22"/>
              </w:rPr>
            </w:pPr>
          </w:p>
        </w:tc>
        <w:tc>
          <w:tcPr>
            <w:tcW w:w="1276" w:type="dxa"/>
            <w:shd w:val="clear" w:color="auto" w:fill="auto"/>
          </w:tcPr>
          <w:p w14:paraId="0DFB2B35" w14:textId="77777777" w:rsidR="0049013E" w:rsidRPr="001D75FF" w:rsidRDefault="0049013E" w:rsidP="000B7EF4">
            <w:pPr>
              <w:rPr>
                <w:rFonts w:eastAsia="Calibri"/>
                <w:szCs w:val="22"/>
              </w:rPr>
            </w:pPr>
          </w:p>
        </w:tc>
        <w:tc>
          <w:tcPr>
            <w:tcW w:w="1276" w:type="dxa"/>
            <w:shd w:val="clear" w:color="auto" w:fill="auto"/>
          </w:tcPr>
          <w:p w14:paraId="77B5442D" w14:textId="77777777" w:rsidR="0049013E" w:rsidRPr="001D75FF" w:rsidRDefault="0049013E" w:rsidP="000B7EF4">
            <w:pPr>
              <w:rPr>
                <w:rFonts w:eastAsia="Calibri"/>
                <w:szCs w:val="22"/>
              </w:rPr>
            </w:pPr>
          </w:p>
        </w:tc>
        <w:tc>
          <w:tcPr>
            <w:tcW w:w="7087" w:type="dxa"/>
            <w:shd w:val="clear" w:color="auto" w:fill="auto"/>
          </w:tcPr>
          <w:p w14:paraId="00056DD5" w14:textId="77777777" w:rsidR="0049013E" w:rsidRPr="001D75FF" w:rsidRDefault="0049013E" w:rsidP="000B7EF4">
            <w:pPr>
              <w:rPr>
                <w:rFonts w:eastAsia="Calibri"/>
                <w:szCs w:val="22"/>
              </w:rPr>
            </w:pPr>
          </w:p>
        </w:tc>
      </w:tr>
      <w:tr w:rsidR="0049013E" w:rsidRPr="001D75FF" w14:paraId="3F8952A7" w14:textId="77777777" w:rsidTr="000B7EF4">
        <w:tc>
          <w:tcPr>
            <w:tcW w:w="3969" w:type="dxa"/>
            <w:shd w:val="clear" w:color="auto" w:fill="auto"/>
          </w:tcPr>
          <w:p w14:paraId="748C8778" w14:textId="77777777" w:rsidR="0049013E" w:rsidRPr="00541B83" w:rsidRDefault="0049013E" w:rsidP="000B7EF4">
            <w:pPr>
              <w:rPr>
                <w:rFonts w:eastAsia="Calibri"/>
                <w:sz w:val="20"/>
              </w:rPr>
            </w:pPr>
            <w:r w:rsidRPr="00541B83">
              <w:rPr>
                <w:rFonts w:eastAsia="Calibri"/>
                <w:sz w:val="20"/>
              </w:rPr>
              <w:t>To ensure effective and timely communication and advice is offered to Group Leaders on key matters.</w:t>
            </w:r>
          </w:p>
        </w:tc>
        <w:tc>
          <w:tcPr>
            <w:tcW w:w="1276" w:type="dxa"/>
            <w:shd w:val="clear" w:color="auto" w:fill="auto"/>
          </w:tcPr>
          <w:p w14:paraId="4E35F184" w14:textId="77777777" w:rsidR="0049013E" w:rsidRPr="001D75FF" w:rsidRDefault="0049013E" w:rsidP="000B7EF4">
            <w:pPr>
              <w:rPr>
                <w:rFonts w:eastAsia="Calibri"/>
                <w:szCs w:val="22"/>
              </w:rPr>
            </w:pPr>
          </w:p>
        </w:tc>
        <w:tc>
          <w:tcPr>
            <w:tcW w:w="1276" w:type="dxa"/>
            <w:shd w:val="clear" w:color="auto" w:fill="auto"/>
          </w:tcPr>
          <w:p w14:paraId="067F3697" w14:textId="77777777" w:rsidR="0049013E" w:rsidRPr="001D75FF" w:rsidRDefault="0049013E" w:rsidP="000B7EF4">
            <w:pPr>
              <w:rPr>
                <w:rFonts w:eastAsia="Calibri"/>
                <w:szCs w:val="22"/>
              </w:rPr>
            </w:pPr>
          </w:p>
        </w:tc>
        <w:tc>
          <w:tcPr>
            <w:tcW w:w="1276" w:type="dxa"/>
            <w:shd w:val="clear" w:color="auto" w:fill="auto"/>
          </w:tcPr>
          <w:p w14:paraId="595DE5F8" w14:textId="77777777" w:rsidR="0049013E" w:rsidRPr="001D75FF" w:rsidRDefault="0049013E" w:rsidP="000B7EF4">
            <w:pPr>
              <w:rPr>
                <w:rFonts w:eastAsia="Calibri"/>
                <w:szCs w:val="22"/>
              </w:rPr>
            </w:pPr>
          </w:p>
        </w:tc>
        <w:tc>
          <w:tcPr>
            <w:tcW w:w="7087" w:type="dxa"/>
            <w:shd w:val="clear" w:color="auto" w:fill="auto"/>
          </w:tcPr>
          <w:p w14:paraId="024C2DE5" w14:textId="77777777" w:rsidR="0049013E" w:rsidRPr="001D75FF" w:rsidRDefault="0049013E" w:rsidP="000B7EF4">
            <w:pPr>
              <w:rPr>
                <w:rFonts w:eastAsia="Calibri"/>
                <w:szCs w:val="22"/>
              </w:rPr>
            </w:pPr>
          </w:p>
        </w:tc>
      </w:tr>
      <w:tr w:rsidR="0049013E" w:rsidRPr="001D75FF" w14:paraId="30270D86" w14:textId="77777777" w:rsidTr="000B7EF4">
        <w:tc>
          <w:tcPr>
            <w:tcW w:w="3969" w:type="dxa"/>
            <w:shd w:val="clear" w:color="auto" w:fill="auto"/>
          </w:tcPr>
          <w:p w14:paraId="1234ADCF" w14:textId="77777777" w:rsidR="0049013E" w:rsidRPr="00541B83" w:rsidRDefault="0049013E" w:rsidP="000B7EF4">
            <w:pPr>
              <w:rPr>
                <w:rFonts w:eastAsia="Calibri"/>
                <w:sz w:val="20"/>
              </w:rPr>
            </w:pPr>
            <w:r w:rsidRPr="00541B83">
              <w:rPr>
                <w:rFonts w:eastAsia="Calibri"/>
                <w:sz w:val="20"/>
              </w:rPr>
              <w:t>To effectively manage the interface between Elected Members and Senior Officers.</w:t>
            </w:r>
          </w:p>
        </w:tc>
        <w:tc>
          <w:tcPr>
            <w:tcW w:w="1276" w:type="dxa"/>
            <w:shd w:val="clear" w:color="auto" w:fill="auto"/>
          </w:tcPr>
          <w:p w14:paraId="09FCA037" w14:textId="77777777" w:rsidR="0049013E" w:rsidRPr="001D75FF" w:rsidRDefault="0049013E" w:rsidP="000B7EF4">
            <w:pPr>
              <w:rPr>
                <w:rFonts w:eastAsia="Calibri"/>
                <w:szCs w:val="22"/>
              </w:rPr>
            </w:pPr>
          </w:p>
        </w:tc>
        <w:tc>
          <w:tcPr>
            <w:tcW w:w="1276" w:type="dxa"/>
            <w:shd w:val="clear" w:color="auto" w:fill="auto"/>
          </w:tcPr>
          <w:p w14:paraId="3B9B126E" w14:textId="77777777" w:rsidR="0049013E" w:rsidRPr="001D75FF" w:rsidRDefault="0049013E" w:rsidP="000B7EF4">
            <w:pPr>
              <w:rPr>
                <w:rFonts w:eastAsia="Calibri"/>
                <w:szCs w:val="22"/>
              </w:rPr>
            </w:pPr>
          </w:p>
        </w:tc>
        <w:tc>
          <w:tcPr>
            <w:tcW w:w="1276" w:type="dxa"/>
            <w:shd w:val="clear" w:color="auto" w:fill="auto"/>
          </w:tcPr>
          <w:p w14:paraId="471EE57F" w14:textId="77777777" w:rsidR="0049013E" w:rsidRPr="001D75FF" w:rsidRDefault="0049013E" w:rsidP="000B7EF4">
            <w:pPr>
              <w:rPr>
                <w:rFonts w:eastAsia="Calibri"/>
                <w:szCs w:val="22"/>
              </w:rPr>
            </w:pPr>
          </w:p>
        </w:tc>
        <w:tc>
          <w:tcPr>
            <w:tcW w:w="7087" w:type="dxa"/>
            <w:shd w:val="clear" w:color="auto" w:fill="auto"/>
          </w:tcPr>
          <w:p w14:paraId="07570352" w14:textId="77777777" w:rsidR="0049013E" w:rsidRPr="001D75FF" w:rsidRDefault="0049013E" w:rsidP="000B7EF4">
            <w:pPr>
              <w:rPr>
                <w:rFonts w:eastAsia="Calibri"/>
                <w:szCs w:val="22"/>
              </w:rPr>
            </w:pPr>
          </w:p>
        </w:tc>
      </w:tr>
      <w:tr w:rsidR="0049013E" w:rsidRPr="001D75FF" w14:paraId="1223B4FD" w14:textId="77777777" w:rsidTr="000B7EF4">
        <w:tc>
          <w:tcPr>
            <w:tcW w:w="3969" w:type="dxa"/>
            <w:shd w:val="clear" w:color="auto" w:fill="auto"/>
          </w:tcPr>
          <w:p w14:paraId="653E9203" w14:textId="77777777" w:rsidR="0049013E" w:rsidRPr="00541B83" w:rsidRDefault="0049013E" w:rsidP="000B7EF4">
            <w:pPr>
              <w:rPr>
                <w:rFonts w:eastAsia="Calibri"/>
                <w:sz w:val="20"/>
              </w:rPr>
            </w:pPr>
            <w:r w:rsidRPr="00541B83">
              <w:rPr>
                <w:rFonts w:eastAsia="Calibri"/>
                <w:sz w:val="20"/>
              </w:rPr>
              <w:t>The development and maintenance of effective partnerships for the benefit of borough residents.</w:t>
            </w:r>
          </w:p>
        </w:tc>
        <w:tc>
          <w:tcPr>
            <w:tcW w:w="1276" w:type="dxa"/>
            <w:shd w:val="clear" w:color="auto" w:fill="auto"/>
          </w:tcPr>
          <w:p w14:paraId="2C74701B" w14:textId="77777777" w:rsidR="0049013E" w:rsidRPr="001D75FF" w:rsidRDefault="0049013E" w:rsidP="000B7EF4">
            <w:pPr>
              <w:rPr>
                <w:rFonts w:eastAsia="Calibri"/>
                <w:szCs w:val="22"/>
              </w:rPr>
            </w:pPr>
          </w:p>
        </w:tc>
        <w:tc>
          <w:tcPr>
            <w:tcW w:w="1276" w:type="dxa"/>
            <w:shd w:val="clear" w:color="auto" w:fill="auto"/>
          </w:tcPr>
          <w:p w14:paraId="09FD8EAF" w14:textId="77777777" w:rsidR="0049013E" w:rsidRPr="001D75FF" w:rsidRDefault="0049013E" w:rsidP="000B7EF4">
            <w:pPr>
              <w:rPr>
                <w:rFonts w:eastAsia="Calibri"/>
                <w:szCs w:val="22"/>
              </w:rPr>
            </w:pPr>
          </w:p>
        </w:tc>
        <w:tc>
          <w:tcPr>
            <w:tcW w:w="1276" w:type="dxa"/>
            <w:shd w:val="clear" w:color="auto" w:fill="auto"/>
          </w:tcPr>
          <w:p w14:paraId="5F577F01" w14:textId="77777777" w:rsidR="0049013E" w:rsidRPr="001D75FF" w:rsidRDefault="0049013E" w:rsidP="000B7EF4">
            <w:pPr>
              <w:rPr>
                <w:rFonts w:eastAsia="Calibri"/>
                <w:szCs w:val="22"/>
              </w:rPr>
            </w:pPr>
          </w:p>
        </w:tc>
        <w:tc>
          <w:tcPr>
            <w:tcW w:w="7087" w:type="dxa"/>
            <w:shd w:val="clear" w:color="auto" w:fill="auto"/>
          </w:tcPr>
          <w:p w14:paraId="3AB02261" w14:textId="77777777" w:rsidR="0049013E" w:rsidRPr="001D75FF" w:rsidRDefault="0049013E" w:rsidP="000B7EF4">
            <w:pPr>
              <w:rPr>
                <w:rFonts w:eastAsia="Calibri"/>
                <w:szCs w:val="22"/>
              </w:rPr>
            </w:pPr>
          </w:p>
        </w:tc>
      </w:tr>
      <w:tr w:rsidR="0049013E" w:rsidRPr="001D75FF" w14:paraId="3CDFFEB8" w14:textId="77777777" w:rsidTr="000B7EF4">
        <w:tc>
          <w:tcPr>
            <w:tcW w:w="3969" w:type="dxa"/>
            <w:shd w:val="clear" w:color="auto" w:fill="auto"/>
          </w:tcPr>
          <w:p w14:paraId="7EE307E7" w14:textId="77777777" w:rsidR="0049013E" w:rsidRPr="00541B83" w:rsidRDefault="0049013E" w:rsidP="000B7EF4">
            <w:pPr>
              <w:rPr>
                <w:rFonts w:eastAsia="Calibri"/>
                <w:sz w:val="20"/>
              </w:rPr>
            </w:pPr>
            <w:r w:rsidRPr="00541B83">
              <w:rPr>
                <w:rFonts w:eastAsia="Calibri"/>
                <w:sz w:val="20"/>
              </w:rPr>
              <w:t>To guide and bring forward policy development to ensure the delivery of the Council’s vision and priorities.</w:t>
            </w:r>
          </w:p>
        </w:tc>
        <w:tc>
          <w:tcPr>
            <w:tcW w:w="1276" w:type="dxa"/>
            <w:shd w:val="clear" w:color="auto" w:fill="auto"/>
          </w:tcPr>
          <w:p w14:paraId="66B31962" w14:textId="77777777" w:rsidR="0049013E" w:rsidRPr="001D75FF" w:rsidRDefault="0049013E" w:rsidP="000B7EF4">
            <w:pPr>
              <w:rPr>
                <w:rFonts w:eastAsia="Calibri"/>
                <w:szCs w:val="22"/>
              </w:rPr>
            </w:pPr>
          </w:p>
        </w:tc>
        <w:tc>
          <w:tcPr>
            <w:tcW w:w="1276" w:type="dxa"/>
            <w:shd w:val="clear" w:color="auto" w:fill="auto"/>
          </w:tcPr>
          <w:p w14:paraId="7FE1B72A" w14:textId="77777777" w:rsidR="0049013E" w:rsidRPr="001D75FF" w:rsidRDefault="0049013E" w:rsidP="000B7EF4">
            <w:pPr>
              <w:rPr>
                <w:rFonts w:eastAsia="Calibri"/>
                <w:szCs w:val="22"/>
              </w:rPr>
            </w:pPr>
          </w:p>
        </w:tc>
        <w:tc>
          <w:tcPr>
            <w:tcW w:w="1276" w:type="dxa"/>
            <w:shd w:val="clear" w:color="auto" w:fill="auto"/>
          </w:tcPr>
          <w:p w14:paraId="113CBC0C" w14:textId="77777777" w:rsidR="0049013E" w:rsidRPr="001D75FF" w:rsidRDefault="0049013E" w:rsidP="000B7EF4">
            <w:pPr>
              <w:rPr>
                <w:rFonts w:eastAsia="Calibri"/>
                <w:szCs w:val="22"/>
              </w:rPr>
            </w:pPr>
          </w:p>
        </w:tc>
        <w:tc>
          <w:tcPr>
            <w:tcW w:w="7087" w:type="dxa"/>
            <w:shd w:val="clear" w:color="auto" w:fill="auto"/>
          </w:tcPr>
          <w:p w14:paraId="6206E083" w14:textId="77777777" w:rsidR="0049013E" w:rsidRPr="001D75FF" w:rsidRDefault="0049013E" w:rsidP="000B7EF4">
            <w:pPr>
              <w:rPr>
                <w:rFonts w:eastAsia="Calibri"/>
                <w:szCs w:val="22"/>
              </w:rPr>
            </w:pPr>
          </w:p>
        </w:tc>
      </w:tr>
      <w:tr w:rsidR="0049013E" w:rsidRPr="001D75FF" w14:paraId="386819FE" w14:textId="77777777" w:rsidTr="000B7EF4">
        <w:tc>
          <w:tcPr>
            <w:tcW w:w="3969" w:type="dxa"/>
            <w:shd w:val="clear" w:color="auto" w:fill="auto"/>
          </w:tcPr>
          <w:p w14:paraId="783BBFB8" w14:textId="77777777" w:rsidR="0049013E" w:rsidRPr="00541B83" w:rsidRDefault="0049013E" w:rsidP="000B7EF4">
            <w:pPr>
              <w:rPr>
                <w:rFonts w:eastAsia="Calibri"/>
                <w:sz w:val="20"/>
              </w:rPr>
            </w:pPr>
            <w:r w:rsidRPr="00541B83">
              <w:rPr>
                <w:rFonts w:eastAsia="Calibri"/>
                <w:sz w:val="20"/>
              </w:rPr>
              <w:t>To support Elected Members to engender an appropriate workplace culture that is reflected across the organisation.</w:t>
            </w:r>
          </w:p>
          <w:p w14:paraId="2736DEBF" w14:textId="77777777" w:rsidR="0049013E" w:rsidRPr="00541B83" w:rsidRDefault="0049013E" w:rsidP="000B7EF4">
            <w:pPr>
              <w:rPr>
                <w:rFonts w:eastAsia="Calibri"/>
                <w:sz w:val="20"/>
              </w:rPr>
            </w:pPr>
          </w:p>
        </w:tc>
        <w:tc>
          <w:tcPr>
            <w:tcW w:w="1276" w:type="dxa"/>
            <w:shd w:val="clear" w:color="auto" w:fill="auto"/>
          </w:tcPr>
          <w:p w14:paraId="7F0C043F" w14:textId="77777777" w:rsidR="0049013E" w:rsidRPr="001D75FF" w:rsidRDefault="0049013E" w:rsidP="000B7EF4">
            <w:pPr>
              <w:rPr>
                <w:rFonts w:eastAsia="Calibri"/>
                <w:szCs w:val="22"/>
              </w:rPr>
            </w:pPr>
          </w:p>
        </w:tc>
        <w:tc>
          <w:tcPr>
            <w:tcW w:w="1276" w:type="dxa"/>
            <w:shd w:val="clear" w:color="auto" w:fill="auto"/>
          </w:tcPr>
          <w:p w14:paraId="0B0BF44E" w14:textId="77777777" w:rsidR="0049013E" w:rsidRPr="001D75FF" w:rsidRDefault="0049013E" w:rsidP="000B7EF4">
            <w:pPr>
              <w:rPr>
                <w:rFonts w:eastAsia="Calibri"/>
                <w:szCs w:val="22"/>
              </w:rPr>
            </w:pPr>
          </w:p>
        </w:tc>
        <w:tc>
          <w:tcPr>
            <w:tcW w:w="1276" w:type="dxa"/>
            <w:shd w:val="clear" w:color="auto" w:fill="auto"/>
          </w:tcPr>
          <w:p w14:paraId="64A7FAEC" w14:textId="77777777" w:rsidR="0049013E" w:rsidRPr="001D75FF" w:rsidRDefault="0049013E" w:rsidP="000B7EF4">
            <w:pPr>
              <w:rPr>
                <w:rFonts w:eastAsia="Calibri"/>
                <w:szCs w:val="22"/>
              </w:rPr>
            </w:pPr>
          </w:p>
        </w:tc>
        <w:tc>
          <w:tcPr>
            <w:tcW w:w="7087" w:type="dxa"/>
            <w:shd w:val="clear" w:color="auto" w:fill="auto"/>
          </w:tcPr>
          <w:p w14:paraId="1B521E7B" w14:textId="77777777" w:rsidR="0049013E" w:rsidRPr="001D75FF" w:rsidRDefault="0049013E" w:rsidP="000B7EF4">
            <w:pPr>
              <w:rPr>
                <w:rFonts w:eastAsia="Calibri"/>
                <w:szCs w:val="22"/>
              </w:rPr>
            </w:pPr>
          </w:p>
        </w:tc>
      </w:tr>
      <w:tr w:rsidR="0049013E" w:rsidRPr="001D75FF" w14:paraId="7156AD5B" w14:textId="77777777" w:rsidTr="000B7EF4">
        <w:tc>
          <w:tcPr>
            <w:tcW w:w="3969" w:type="dxa"/>
            <w:shd w:val="clear" w:color="auto" w:fill="auto"/>
          </w:tcPr>
          <w:p w14:paraId="0CB9FFCA" w14:textId="77777777" w:rsidR="0049013E" w:rsidRPr="00541B83" w:rsidRDefault="0049013E" w:rsidP="000B7EF4">
            <w:pPr>
              <w:rPr>
                <w:rFonts w:eastAsia="Calibri"/>
                <w:sz w:val="20"/>
              </w:rPr>
            </w:pPr>
            <w:r w:rsidRPr="00541B83">
              <w:rPr>
                <w:rFonts w:eastAsia="Calibri"/>
                <w:sz w:val="20"/>
              </w:rPr>
              <w:t>The provision of sound electoral process and practice.</w:t>
            </w:r>
          </w:p>
          <w:p w14:paraId="5696AC0B" w14:textId="77777777" w:rsidR="0049013E" w:rsidRPr="00541B83" w:rsidRDefault="0049013E" w:rsidP="000B7EF4">
            <w:pPr>
              <w:rPr>
                <w:rFonts w:eastAsia="Calibri"/>
                <w:sz w:val="20"/>
              </w:rPr>
            </w:pPr>
          </w:p>
        </w:tc>
        <w:tc>
          <w:tcPr>
            <w:tcW w:w="1276" w:type="dxa"/>
            <w:shd w:val="clear" w:color="auto" w:fill="auto"/>
          </w:tcPr>
          <w:p w14:paraId="6D52FCA8" w14:textId="77777777" w:rsidR="0049013E" w:rsidRPr="001D75FF" w:rsidRDefault="0049013E" w:rsidP="000B7EF4">
            <w:pPr>
              <w:rPr>
                <w:rFonts w:eastAsia="Calibri"/>
                <w:szCs w:val="22"/>
              </w:rPr>
            </w:pPr>
          </w:p>
        </w:tc>
        <w:tc>
          <w:tcPr>
            <w:tcW w:w="1276" w:type="dxa"/>
            <w:shd w:val="clear" w:color="auto" w:fill="auto"/>
          </w:tcPr>
          <w:p w14:paraId="23B3B0FE" w14:textId="77777777" w:rsidR="0049013E" w:rsidRPr="001D75FF" w:rsidRDefault="0049013E" w:rsidP="000B7EF4">
            <w:pPr>
              <w:rPr>
                <w:rFonts w:eastAsia="Calibri"/>
                <w:szCs w:val="22"/>
              </w:rPr>
            </w:pPr>
          </w:p>
        </w:tc>
        <w:tc>
          <w:tcPr>
            <w:tcW w:w="1276" w:type="dxa"/>
            <w:shd w:val="clear" w:color="auto" w:fill="auto"/>
          </w:tcPr>
          <w:p w14:paraId="3F99D2C5" w14:textId="77777777" w:rsidR="0049013E" w:rsidRPr="001D75FF" w:rsidRDefault="0049013E" w:rsidP="000B7EF4">
            <w:pPr>
              <w:rPr>
                <w:rFonts w:eastAsia="Calibri"/>
                <w:szCs w:val="22"/>
              </w:rPr>
            </w:pPr>
          </w:p>
        </w:tc>
        <w:tc>
          <w:tcPr>
            <w:tcW w:w="7087" w:type="dxa"/>
            <w:shd w:val="clear" w:color="auto" w:fill="auto"/>
          </w:tcPr>
          <w:p w14:paraId="0B37A8E2" w14:textId="77777777" w:rsidR="0049013E" w:rsidRPr="001D75FF" w:rsidRDefault="0049013E" w:rsidP="000B7EF4">
            <w:pPr>
              <w:rPr>
                <w:rFonts w:eastAsia="Calibri"/>
                <w:szCs w:val="22"/>
              </w:rPr>
            </w:pPr>
          </w:p>
        </w:tc>
      </w:tr>
      <w:tr w:rsidR="0049013E" w:rsidRPr="001D75FF" w14:paraId="2B28F2FF" w14:textId="77777777" w:rsidTr="000B7EF4">
        <w:tc>
          <w:tcPr>
            <w:tcW w:w="3969" w:type="dxa"/>
            <w:shd w:val="clear" w:color="auto" w:fill="auto"/>
          </w:tcPr>
          <w:p w14:paraId="2545724C" w14:textId="77777777" w:rsidR="0049013E" w:rsidRPr="00541B83" w:rsidRDefault="0049013E" w:rsidP="000B7EF4">
            <w:pPr>
              <w:rPr>
                <w:rFonts w:eastAsia="Calibri"/>
                <w:sz w:val="20"/>
              </w:rPr>
            </w:pPr>
            <w:r w:rsidRPr="00541B83">
              <w:rPr>
                <w:rFonts w:eastAsia="Calibri"/>
                <w:sz w:val="20"/>
              </w:rPr>
              <w:t>How effectively the Council’s services have been delivered within budget and as described within the Gedling Plan.</w:t>
            </w:r>
          </w:p>
        </w:tc>
        <w:tc>
          <w:tcPr>
            <w:tcW w:w="1276" w:type="dxa"/>
            <w:shd w:val="clear" w:color="auto" w:fill="auto"/>
          </w:tcPr>
          <w:p w14:paraId="743E995C" w14:textId="77777777" w:rsidR="0049013E" w:rsidRPr="001D75FF" w:rsidRDefault="0049013E" w:rsidP="000B7EF4">
            <w:pPr>
              <w:rPr>
                <w:rFonts w:eastAsia="Calibri"/>
                <w:szCs w:val="22"/>
              </w:rPr>
            </w:pPr>
          </w:p>
        </w:tc>
        <w:tc>
          <w:tcPr>
            <w:tcW w:w="1276" w:type="dxa"/>
            <w:shd w:val="clear" w:color="auto" w:fill="auto"/>
          </w:tcPr>
          <w:p w14:paraId="208E50C4" w14:textId="77777777" w:rsidR="0049013E" w:rsidRPr="001D75FF" w:rsidRDefault="0049013E" w:rsidP="000B7EF4">
            <w:pPr>
              <w:rPr>
                <w:rFonts w:eastAsia="Calibri"/>
                <w:szCs w:val="22"/>
              </w:rPr>
            </w:pPr>
          </w:p>
        </w:tc>
        <w:tc>
          <w:tcPr>
            <w:tcW w:w="1276" w:type="dxa"/>
            <w:shd w:val="clear" w:color="auto" w:fill="auto"/>
          </w:tcPr>
          <w:p w14:paraId="0EBD29E0" w14:textId="77777777" w:rsidR="0049013E" w:rsidRPr="001D75FF" w:rsidRDefault="0049013E" w:rsidP="000B7EF4">
            <w:pPr>
              <w:rPr>
                <w:rFonts w:eastAsia="Calibri"/>
                <w:szCs w:val="22"/>
              </w:rPr>
            </w:pPr>
          </w:p>
        </w:tc>
        <w:tc>
          <w:tcPr>
            <w:tcW w:w="7087" w:type="dxa"/>
            <w:shd w:val="clear" w:color="auto" w:fill="auto"/>
          </w:tcPr>
          <w:p w14:paraId="09FC3279" w14:textId="77777777" w:rsidR="0049013E" w:rsidRPr="001D75FF" w:rsidRDefault="0049013E" w:rsidP="000B7EF4">
            <w:pPr>
              <w:rPr>
                <w:rFonts w:eastAsia="Calibri"/>
                <w:szCs w:val="22"/>
              </w:rPr>
            </w:pPr>
          </w:p>
        </w:tc>
      </w:tr>
      <w:tr w:rsidR="0049013E" w:rsidRPr="001D75FF" w14:paraId="1CA6DA11" w14:textId="77777777" w:rsidTr="000B7EF4">
        <w:tc>
          <w:tcPr>
            <w:tcW w:w="3969" w:type="dxa"/>
            <w:shd w:val="clear" w:color="auto" w:fill="auto"/>
          </w:tcPr>
          <w:p w14:paraId="5CFEEC76" w14:textId="77777777" w:rsidR="0049013E" w:rsidRPr="00541B83" w:rsidRDefault="0049013E" w:rsidP="000B7EF4">
            <w:pPr>
              <w:rPr>
                <w:rFonts w:eastAsia="Calibri"/>
                <w:sz w:val="20"/>
              </w:rPr>
            </w:pPr>
            <w:r w:rsidRPr="00541B83">
              <w:rPr>
                <w:rFonts w:eastAsia="Calibri"/>
                <w:sz w:val="20"/>
              </w:rPr>
              <w:t xml:space="preserve">Expectations for delivery of key objectives or tasks to be delivered during the coming year to which the ACSC wishes to draw particular attention. </w:t>
            </w:r>
          </w:p>
          <w:p w14:paraId="3AC2642D" w14:textId="77777777" w:rsidR="0049013E" w:rsidRPr="00541B83" w:rsidRDefault="0049013E" w:rsidP="000B7EF4">
            <w:pPr>
              <w:rPr>
                <w:rFonts w:eastAsia="Calibri"/>
                <w:sz w:val="20"/>
              </w:rPr>
            </w:pPr>
          </w:p>
        </w:tc>
        <w:tc>
          <w:tcPr>
            <w:tcW w:w="10915" w:type="dxa"/>
            <w:gridSpan w:val="4"/>
            <w:shd w:val="clear" w:color="auto" w:fill="auto"/>
          </w:tcPr>
          <w:p w14:paraId="4E89EF1C" w14:textId="77777777" w:rsidR="0049013E" w:rsidRPr="001D75FF" w:rsidRDefault="0049013E" w:rsidP="000B7EF4">
            <w:pPr>
              <w:rPr>
                <w:rFonts w:eastAsia="Calibri"/>
                <w:szCs w:val="22"/>
              </w:rPr>
            </w:pPr>
          </w:p>
        </w:tc>
      </w:tr>
      <w:tr w:rsidR="0049013E" w:rsidRPr="001D75FF" w14:paraId="1C4B5EF6" w14:textId="77777777" w:rsidTr="000B7EF4">
        <w:tc>
          <w:tcPr>
            <w:tcW w:w="3969" w:type="dxa"/>
            <w:shd w:val="clear" w:color="auto" w:fill="auto"/>
          </w:tcPr>
          <w:p w14:paraId="4808904C" w14:textId="77777777" w:rsidR="0049013E" w:rsidRPr="00541B83" w:rsidRDefault="0049013E" w:rsidP="000B7EF4">
            <w:pPr>
              <w:rPr>
                <w:rFonts w:eastAsia="Calibri"/>
                <w:sz w:val="20"/>
              </w:rPr>
            </w:pPr>
            <w:r w:rsidRPr="00541B83">
              <w:rPr>
                <w:rFonts w:eastAsia="Calibri"/>
                <w:sz w:val="20"/>
              </w:rPr>
              <w:t>Potential personal development needs identified by the ACSC for discussion with the Chief Executive</w:t>
            </w:r>
          </w:p>
          <w:p w14:paraId="0B949073" w14:textId="77777777" w:rsidR="0049013E" w:rsidRPr="00541B83" w:rsidRDefault="0049013E" w:rsidP="000B7EF4">
            <w:pPr>
              <w:rPr>
                <w:rFonts w:eastAsia="Calibri"/>
                <w:sz w:val="20"/>
              </w:rPr>
            </w:pPr>
          </w:p>
          <w:p w14:paraId="5D764146" w14:textId="77777777" w:rsidR="0049013E" w:rsidRPr="00541B83" w:rsidRDefault="0049013E" w:rsidP="000B7EF4">
            <w:pPr>
              <w:rPr>
                <w:rFonts w:eastAsia="Calibri"/>
                <w:sz w:val="20"/>
              </w:rPr>
            </w:pPr>
          </w:p>
        </w:tc>
        <w:tc>
          <w:tcPr>
            <w:tcW w:w="10915" w:type="dxa"/>
            <w:gridSpan w:val="4"/>
            <w:shd w:val="clear" w:color="auto" w:fill="auto"/>
          </w:tcPr>
          <w:p w14:paraId="1CB30ECC" w14:textId="77777777" w:rsidR="0049013E" w:rsidRPr="001D75FF" w:rsidRDefault="0049013E" w:rsidP="000B7EF4">
            <w:pPr>
              <w:rPr>
                <w:rFonts w:eastAsia="Calibri"/>
                <w:szCs w:val="22"/>
              </w:rPr>
            </w:pPr>
          </w:p>
        </w:tc>
      </w:tr>
    </w:tbl>
    <w:p w14:paraId="1286B559" w14:textId="77777777" w:rsidR="0049013E" w:rsidRPr="001D75FF" w:rsidRDefault="0049013E" w:rsidP="0049013E">
      <w:pPr>
        <w:rPr>
          <w:rFonts w:eastAsia="Calibri"/>
          <w:szCs w:val="22"/>
        </w:rPr>
      </w:pPr>
    </w:p>
    <w:p w14:paraId="54E7D0BA" w14:textId="77777777" w:rsidR="0049013E" w:rsidRPr="001D75FF" w:rsidRDefault="0049013E" w:rsidP="0049013E">
      <w:pPr>
        <w:rPr>
          <w:b/>
          <w:sz w:val="32"/>
          <w:szCs w:val="32"/>
        </w:rPr>
      </w:pPr>
      <w:r w:rsidRPr="001D75FF">
        <w:rPr>
          <w:b/>
          <w:sz w:val="32"/>
          <w:szCs w:val="32"/>
        </w:rPr>
        <w:t>Chief Executive’s Pay:</w:t>
      </w:r>
    </w:p>
    <w:p w14:paraId="5C3F4EA7" w14:textId="77777777" w:rsidR="0049013E" w:rsidRPr="00541B83" w:rsidRDefault="008A2D13" w:rsidP="0049013E">
      <w:pPr>
        <w:rPr>
          <w:sz w:val="22"/>
          <w:szCs w:val="22"/>
        </w:rPr>
      </w:pPr>
      <w:r>
        <w:rPr>
          <w:noProof/>
          <w:lang w:eastAsia="en-GB"/>
        </w:rPr>
        <mc:AlternateContent>
          <mc:Choice Requires="wps">
            <w:drawing>
              <wp:anchor distT="0" distB="0" distL="114300" distR="114300" simplePos="0" relativeHeight="251656192" behindDoc="0" locked="0" layoutInCell="1" allowOverlap="1" wp14:anchorId="36FB9243" wp14:editId="6C26E4CF">
                <wp:simplePos x="0" y="0"/>
                <wp:positionH relativeFrom="column">
                  <wp:posOffset>7021195</wp:posOffset>
                </wp:positionH>
                <wp:positionV relativeFrom="paragraph">
                  <wp:posOffset>367030</wp:posOffset>
                </wp:positionV>
                <wp:extent cx="276225" cy="265430"/>
                <wp:effectExtent l="0" t="0" r="9525" b="12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4C86F" id="Rectangle 4" o:spid="_x0000_s1026" style="position:absolute;margin-left:552.85pt;margin-top:28.9pt;width:21.75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"/>
            </w:pict>
          </mc:Fallback>
        </mc:AlternateContent>
      </w:r>
      <w:r w:rsidR="0049013E" w:rsidRPr="00541B83">
        <w:rPr>
          <w:sz w:val="22"/>
          <w:szCs w:val="22"/>
        </w:rPr>
        <w:t>In accordance with the approved local pay and performance policy for the Chief Executive, the Appointment and Conditions of Service Committee authorises the Chief Executive’s pay to be either:</w:t>
      </w:r>
    </w:p>
    <w:p w14:paraId="03B949C4" w14:textId="77777777" w:rsidR="0049013E" w:rsidRPr="00541B83" w:rsidRDefault="0049013E" w:rsidP="0049013E">
      <w:pPr>
        <w:rPr>
          <w:sz w:val="22"/>
          <w:szCs w:val="22"/>
        </w:rPr>
      </w:pPr>
      <w:r w:rsidRPr="00541B83">
        <w:rPr>
          <w:sz w:val="22"/>
          <w:szCs w:val="22"/>
        </w:rPr>
        <w:t xml:space="preserve">Moved to the next point within the pay scale or maintained at the top pay </w:t>
      </w:r>
      <w:proofErr w:type="gramStart"/>
      <w:r w:rsidRPr="00541B83">
        <w:rPr>
          <w:sz w:val="22"/>
          <w:szCs w:val="22"/>
        </w:rPr>
        <w:t>point</w:t>
      </w:r>
      <w:proofErr w:type="gramEnd"/>
      <w:r w:rsidRPr="00541B83">
        <w:rPr>
          <w:sz w:val="22"/>
          <w:szCs w:val="22"/>
        </w:rPr>
        <w:t xml:space="preserve"> </w:t>
      </w:r>
    </w:p>
    <w:p w14:paraId="764FA9A9" w14:textId="77777777" w:rsidR="0049013E" w:rsidRPr="00541B83" w:rsidRDefault="008A2D13" w:rsidP="0049013E">
      <w:pPr>
        <w:rPr>
          <w:sz w:val="22"/>
          <w:szCs w:val="22"/>
        </w:rPr>
      </w:pPr>
      <w:r>
        <w:rPr>
          <w:noProof/>
          <w:lang w:eastAsia="en-GB"/>
        </w:rPr>
        <mc:AlternateContent>
          <mc:Choice Requires="wps">
            <w:drawing>
              <wp:anchor distT="0" distB="0" distL="114300" distR="114300" simplePos="0" relativeHeight="251657216" behindDoc="0" locked="0" layoutInCell="1" allowOverlap="1" wp14:anchorId="2B24DC8D" wp14:editId="402DD0BC">
                <wp:simplePos x="0" y="0"/>
                <wp:positionH relativeFrom="column">
                  <wp:posOffset>7021195</wp:posOffset>
                </wp:positionH>
                <wp:positionV relativeFrom="paragraph">
                  <wp:posOffset>157480</wp:posOffset>
                </wp:positionV>
                <wp:extent cx="276225" cy="265430"/>
                <wp:effectExtent l="0" t="0" r="9525"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F3F5D" id="Rectangle 5" o:spid="_x0000_s1026" style="position:absolute;margin-left:552.85pt;margin-top:12.4pt;width:21.75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"/>
            </w:pict>
          </mc:Fallback>
        </mc:AlternateContent>
      </w:r>
      <w:r w:rsidR="0049013E" w:rsidRPr="00541B83">
        <w:rPr>
          <w:sz w:val="22"/>
          <w:szCs w:val="22"/>
        </w:rPr>
        <w:t>Or</w:t>
      </w:r>
    </w:p>
    <w:p w14:paraId="692CA0D8" w14:textId="77777777" w:rsidR="0049013E" w:rsidRPr="00541B83" w:rsidRDefault="0049013E" w:rsidP="0049013E">
      <w:pPr>
        <w:rPr>
          <w:sz w:val="22"/>
          <w:szCs w:val="22"/>
        </w:rPr>
      </w:pPr>
      <w:r w:rsidRPr="00541B83">
        <w:rPr>
          <w:sz w:val="22"/>
          <w:szCs w:val="22"/>
        </w:rPr>
        <w:t xml:space="preserve">Frozen at the current pay point (or reduced from the top pay point to the middle point) </w:t>
      </w:r>
    </w:p>
    <w:p w14:paraId="70236066" w14:textId="77777777" w:rsidR="0049013E" w:rsidRPr="00541B83" w:rsidRDefault="0049013E" w:rsidP="0049013E">
      <w:pPr>
        <w:rPr>
          <w:sz w:val="22"/>
          <w:szCs w:val="22"/>
        </w:rPr>
      </w:pPr>
    </w:p>
    <w:p w14:paraId="18361268" w14:textId="77777777" w:rsidR="0049013E" w:rsidRPr="00541B83" w:rsidRDefault="0049013E" w:rsidP="0049013E">
      <w:pPr>
        <w:rPr>
          <w:sz w:val="22"/>
          <w:szCs w:val="22"/>
        </w:rPr>
      </w:pPr>
      <w:r w:rsidRPr="00541B83">
        <w:rPr>
          <w:sz w:val="22"/>
          <w:szCs w:val="22"/>
        </w:rPr>
        <w:t>This decision will be reviewed either in:</w:t>
      </w:r>
    </w:p>
    <w:p w14:paraId="6D6CE23D" w14:textId="77777777" w:rsidR="0049013E" w:rsidRPr="00541B83" w:rsidRDefault="008A2D13" w:rsidP="0049013E">
      <w:pPr>
        <w:rPr>
          <w:sz w:val="22"/>
          <w:szCs w:val="22"/>
        </w:rPr>
      </w:pPr>
      <w:r>
        <w:rPr>
          <w:noProof/>
          <w:lang w:eastAsia="en-GB"/>
        </w:rPr>
        <mc:AlternateContent>
          <mc:Choice Requires="wps">
            <w:drawing>
              <wp:anchor distT="0" distB="0" distL="114300" distR="114300" simplePos="0" relativeHeight="251658240" behindDoc="0" locked="0" layoutInCell="1" allowOverlap="1" wp14:anchorId="38AD8906" wp14:editId="746E8504">
                <wp:simplePos x="0" y="0"/>
                <wp:positionH relativeFrom="column">
                  <wp:posOffset>2324735</wp:posOffset>
                </wp:positionH>
                <wp:positionV relativeFrom="paragraph">
                  <wp:posOffset>58420</wp:posOffset>
                </wp:positionV>
                <wp:extent cx="276225" cy="265430"/>
                <wp:effectExtent l="0" t="0" r="9525" b="12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7EB92" id="Rectangle 6" o:spid="_x0000_s1026" style="position:absolute;margin-left:183.05pt;margin-top:4.6pt;width:21.7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"/>
            </w:pict>
          </mc:Fallback>
        </mc:AlternateContent>
      </w:r>
      <w:r w:rsidR="0049013E" w:rsidRPr="00541B83">
        <w:rPr>
          <w:sz w:val="22"/>
          <w:szCs w:val="22"/>
        </w:rPr>
        <w:t xml:space="preserve">One year </w:t>
      </w:r>
    </w:p>
    <w:p w14:paraId="053042CA" w14:textId="77777777" w:rsidR="0049013E" w:rsidRPr="00541B83" w:rsidRDefault="0049013E" w:rsidP="0049013E">
      <w:pPr>
        <w:rPr>
          <w:sz w:val="22"/>
          <w:szCs w:val="22"/>
        </w:rPr>
      </w:pPr>
      <w:r w:rsidRPr="00541B83">
        <w:rPr>
          <w:sz w:val="22"/>
          <w:szCs w:val="22"/>
        </w:rPr>
        <w:t>Or</w:t>
      </w:r>
    </w:p>
    <w:p w14:paraId="277EDFFA" w14:textId="77777777" w:rsidR="0049013E" w:rsidRPr="00541B83" w:rsidRDefault="008A2D13" w:rsidP="0049013E">
      <w:pPr>
        <w:rPr>
          <w:sz w:val="22"/>
          <w:szCs w:val="22"/>
        </w:rPr>
      </w:pPr>
      <w:r>
        <w:rPr>
          <w:noProof/>
          <w:lang w:eastAsia="en-GB"/>
        </w:rPr>
        <mc:AlternateContent>
          <mc:Choice Requires="wps">
            <w:drawing>
              <wp:anchor distT="4294967295" distB="4294967295" distL="114300" distR="114300" simplePos="0" relativeHeight="251659264" behindDoc="0" locked="0" layoutInCell="1" allowOverlap="1" wp14:anchorId="4EF1E27D" wp14:editId="308AAEF3">
                <wp:simplePos x="0" y="0"/>
                <wp:positionH relativeFrom="column">
                  <wp:posOffset>2324735</wp:posOffset>
                </wp:positionH>
                <wp:positionV relativeFrom="paragraph">
                  <wp:posOffset>160019</wp:posOffset>
                </wp:positionV>
                <wp:extent cx="1364615" cy="0"/>
                <wp:effectExtent l="0" t="0" r="6985"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4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12F6C" id="_x0000_t32" coordsize="21600,21600" o:spt="32" o:oned="t" path="m,l21600,21600e" filled="f">
                <v:path arrowok="t" fillok="f" o:connecttype="none"/>
                <o:lock v:ext="edit" shapetype="t"/>
              </v:shapetype>
              <v:shape id="AutoShape 7" o:spid="_x0000_s1026" type="#_x0000_t32" style="position:absolute;margin-left:183.05pt;margin-top:12.6pt;width:107.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"/>
            </w:pict>
          </mc:Fallback>
        </mc:AlternateContent>
      </w:r>
      <w:r w:rsidR="0049013E" w:rsidRPr="00541B83">
        <w:rPr>
          <w:sz w:val="22"/>
          <w:szCs w:val="22"/>
        </w:rPr>
        <w:t xml:space="preserve">At an earlier date which is:     </w:t>
      </w:r>
    </w:p>
    <w:p w14:paraId="4963542F" w14:textId="77777777" w:rsidR="0049013E" w:rsidRPr="00541B83" w:rsidRDefault="0049013E" w:rsidP="0049013E">
      <w:pPr>
        <w:rPr>
          <w:sz w:val="22"/>
          <w:szCs w:val="22"/>
        </w:rPr>
      </w:pPr>
    </w:p>
    <w:p w14:paraId="02A16B2A" w14:textId="77777777" w:rsidR="0049013E" w:rsidRPr="00541B83" w:rsidRDefault="008A2D13" w:rsidP="0049013E">
      <w:pPr>
        <w:rPr>
          <w:sz w:val="22"/>
          <w:szCs w:val="22"/>
        </w:rPr>
      </w:pPr>
      <w:r>
        <w:rPr>
          <w:noProof/>
          <w:lang w:eastAsia="en-GB"/>
        </w:rPr>
        <mc:AlternateContent>
          <mc:Choice Requires="wps">
            <w:drawing>
              <wp:anchor distT="0" distB="0" distL="114300" distR="114300" simplePos="0" relativeHeight="251660288" behindDoc="0" locked="0" layoutInCell="1" allowOverlap="1" wp14:anchorId="53667C70" wp14:editId="1DC0BE90">
                <wp:simplePos x="0" y="0"/>
                <wp:positionH relativeFrom="column">
                  <wp:posOffset>6308725</wp:posOffset>
                </wp:positionH>
                <wp:positionV relativeFrom="paragraph">
                  <wp:posOffset>154940</wp:posOffset>
                </wp:positionV>
                <wp:extent cx="2516505" cy="635"/>
                <wp:effectExtent l="0" t="0" r="17145" b="1841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6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A3666" id="AutoShape 8" o:spid="_x0000_s1026" type="#_x0000_t32" style="position:absolute;margin-left:496.75pt;margin-top:12.2pt;width:198.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"/>
            </w:pict>
          </mc:Fallback>
        </mc:AlternateContent>
      </w:r>
      <w:r w:rsidR="0049013E" w:rsidRPr="00541B83">
        <w:rPr>
          <w:sz w:val="22"/>
          <w:szCs w:val="22"/>
        </w:rPr>
        <w:t xml:space="preserve">Signed by the Chair of the Appointments and Condition of Service Committee:  </w:t>
      </w:r>
    </w:p>
    <w:p w14:paraId="0598E6CE" w14:textId="77777777" w:rsidR="0049013E" w:rsidRPr="00541B83" w:rsidRDefault="0049013E" w:rsidP="0049013E">
      <w:pPr>
        <w:ind w:left="426" w:right="283"/>
        <w:jc w:val="both"/>
        <w:rPr>
          <w:sz w:val="22"/>
          <w:szCs w:val="22"/>
        </w:rPr>
      </w:pPr>
      <w:r w:rsidRPr="00541B83">
        <w:rPr>
          <w:sz w:val="22"/>
          <w:szCs w:val="22"/>
        </w:rPr>
        <w:t xml:space="preserve">This record will be retained on the Chief Executive’s personal file.  </w:t>
      </w:r>
    </w:p>
    <w:p w14:paraId="55DB1752" w14:textId="77777777" w:rsidR="0049013E" w:rsidRDefault="0049013E" w:rsidP="0049013E">
      <w:pPr>
        <w:ind w:left="426" w:right="283"/>
        <w:jc w:val="both"/>
        <w:rPr>
          <w:sz w:val="28"/>
          <w:szCs w:val="28"/>
        </w:rPr>
      </w:pPr>
    </w:p>
    <w:p w14:paraId="511A953F" w14:textId="77777777" w:rsidR="0049013E" w:rsidRDefault="0049013E" w:rsidP="0049013E">
      <w:pPr>
        <w:ind w:left="426" w:right="283"/>
        <w:jc w:val="both"/>
        <w:rPr>
          <w:sz w:val="28"/>
          <w:szCs w:val="28"/>
        </w:rPr>
      </w:pPr>
    </w:p>
    <w:p w14:paraId="03DC7519" w14:textId="77777777" w:rsidR="0049013E" w:rsidRDefault="0049013E" w:rsidP="0049013E">
      <w:pPr>
        <w:ind w:left="426" w:right="283"/>
        <w:jc w:val="both"/>
        <w:sectPr w:rsidR="0049013E" w:rsidSect="0049013E">
          <w:pgSz w:w="16838" w:h="11906" w:orient="landscape"/>
          <w:pgMar w:top="1440" w:right="992" w:bottom="1440" w:left="1440" w:header="289" w:footer="720" w:gutter="0"/>
          <w:cols w:space="720"/>
          <w:docGrid w:linePitch="326"/>
        </w:sectPr>
      </w:pPr>
    </w:p>
    <w:p w14:paraId="3B84E014" w14:textId="77777777" w:rsidR="001A57CF" w:rsidRDefault="001A57CF" w:rsidP="00DB62C7">
      <w:pPr>
        <w:ind w:left="426" w:right="283"/>
      </w:pPr>
    </w:p>
    <w:p w14:paraId="7395283E" w14:textId="77777777" w:rsidR="00CB37B8" w:rsidRPr="00CB37B8" w:rsidRDefault="00CB37B8" w:rsidP="00CB37B8"/>
    <w:p w14:paraId="3C35CF94" w14:textId="77777777" w:rsidR="00481EEA" w:rsidRDefault="00F7584B" w:rsidP="00DB62C7">
      <w:pPr>
        <w:ind w:left="426" w:right="283"/>
        <w:jc w:val="right"/>
      </w:pPr>
      <w:r>
        <w:t>Appendix vii</w:t>
      </w:r>
    </w:p>
    <w:p w14:paraId="776940BF" w14:textId="77777777" w:rsidR="00F7584B" w:rsidRDefault="00F7584B" w:rsidP="00DB62C7">
      <w:pPr>
        <w:ind w:left="426" w:right="283"/>
        <w:rPr>
          <w:b/>
        </w:rPr>
      </w:pPr>
    </w:p>
    <w:p w14:paraId="1BE5D361" w14:textId="77777777" w:rsidR="00F7584B" w:rsidRDefault="00F7584B" w:rsidP="00DB62C7">
      <w:pPr>
        <w:ind w:left="426" w:right="283"/>
        <w:rPr>
          <w:b/>
        </w:rPr>
      </w:pPr>
    </w:p>
    <w:p w14:paraId="5AEAEA9B" w14:textId="77777777" w:rsidR="00F7584B" w:rsidRPr="00240B0C" w:rsidRDefault="00F7584B" w:rsidP="00DB62C7">
      <w:pPr>
        <w:ind w:left="426" w:right="283"/>
        <w:rPr>
          <w:b/>
          <w:sz w:val="28"/>
          <w:szCs w:val="28"/>
        </w:rPr>
      </w:pPr>
      <w:r w:rsidRPr="00240B0C">
        <w:rPr>
          <w:b/>
          <w:sz w:val="28"/>
          <w:szCs w:val="28"/>
        </w:rPr>
        <w:t>Pay Protection Policy</w:t>
      </w:r>
    </w:p>
    <w:p w14:paraId="01372942" w14:textId="77777777" w:rsidR="00F7584B" w:rsidRDefault="00F7584B" w:rsidP="00DB62C7">
      <w:pPr>
        <w:spacing w:before="120" w:after="120"/>
        <w:ind w:left="426" w:right="283"/>
        <w:jc w:val="both"/>
      </w:pPr>
      <w:r>
        <w:t xml:space="preserve">The general policy of the Council is that </w:t>
      </w:r>
      <w:r w:rsidRPr="00F87440">
        <w:t xml:space="preserve">pay protection </w:t>
      </w:r>
      <w:r>
        <w:t xml:space="preserve">is </w:t>
      </w:r>
      <w:r w:rsidRPr="00F87440">
        <w:t xml:space="preserve">applied over a </w:t>
      </w:r>
      <w:proofErr w:type="gramStart"/>
      <w:r w:rsidR="00054E37">
        <w:t>two</w:t>
      </w:r>
      <w:r w:rsidRPr="00F87440">
        <w:t xml:space="preserve"> year</w:t>
      </w:r>
      <w:proofErr w:type="gramEnd"/>
      <w:r>
        <w:t xml:space="preserve"> </w:t>
      </w:r>
      <w:r w:rsidRPr="00F87440">
        <w:t>period at a protected</w:t>
      </w:r>
      <w:r>
        <w:t xml:space="preserve"> </w:t>
      </w:r>
      <w:r w:rsidRPr="00F87440">
        <w:t>rate of 100% in the first</w:t>
      </w:r>
      <w:r>
        <w:t xml:space="preserve"> </w:t>
      </w:r>
      <w:r w:rsidR="0049013E">
        <w:t xml:space="preserve">12 months and 50% </w:t>
      </w:r>
      <w:r w:rsidRPr="00F87440">
        <w:t>in the</w:t>
      </w:r>
      <w:r>
        <w:t xml:space="preserve"> </w:t>
      </w:r>
      <w:r w:rsidRPr="00F87440">
        <w:t xml:space="preserve">second 12 months from the date of commencing a post at a </w:t>
      </w:r>
      <w:r>
        <w:t>lower grade.</w:t>
      </w:r>
    </w:p>
    <w:p w14:paraId="3C368080" w14:textId="77777777" w:rsidR="00F7584B" w:rsidRDefault="003A209D" w:rsidP="00DB62C7">
      <w:pPr>
        <w:ind w:left="426" w:right="283"/>
        <w:jc w:val="right"/>
      </w:pPr>
      <w:r>
        <w:br w:type="page"/>
      </w:r>
      <w:r w:rsidR="00BE05CC">
        <w:t>Appendix viii</w:t>
      </w:r>
    </w:p>
    <w:p w14:paraId="11EC78D5" w14:textId="77777777" w:rsidR="003A209D" w:rsidRDefault="003A209D" w:rsidP="00DB62C7">
      <w:pPr>
        <w:ind w:left="426" w:right="283"/>
        <w:jc w:val="right"/>
      </w:pPr>
    </w:p>
    <w:p w14:paraId="37E44983" w14:textId="77777777" w:rsidR="00581587" w:rsidRPr="00581587" w:rsidRDefault="00581587" w:rsidP="00581587">
      <w:pPr>
        <w:widowControl w:val="0"/>
        <w:jc w:val="center"/>
        <w:rPr>
          <w:b/>
          <w:bCs/>
          <w:snapToGrid w:val="0"/>
        </w:rPr>
      </w:pPr>
      <w:r w:rsidRPr="00581587">
        <w:rPr>
          <w:b/>
          <w:bCs/>
          <w:snapToGrid w:val="0"/>
        </w:rPr>
        <w:t>EARLY RETIREMENT AND REDUNDANCY POLICY</w:t>
      </w:r>
    </w:p>
    <w:p w14:paraId="4BE50107" w14:textId="77777777" w:rsidR="00581587" w:rsidRPr="00581587" w:rsidRDefault="00581587" w:rsidP="00581587">
      <w:pPr>
        <w:widowControl w:val="0"/>
        <w:rPr>
          <w:b/>
          <w:bCs/>
          <w:snapToGrid w:val="0"/>
          <w:u w:val="single"/>
        </w:rPr>
      </w:pPr>
    </w:p>
    <w:p w14:paraId="2B654C9A" w14:textId="77777777" w:rsidR="00581587" w:rsidRPr="00581587" w:rsidRDefault="00581587" w:rsidP="00581587">
      <w:pPr>
        <w:widowControl w:val="0"/>
        <w:rPr>
          <w:bCs/>
          <w:snapToGrid w:val="0"/>
        </w:rPr>
      </w:pPr>
      <w:r w:rsidRPr="00581587">
        <w:rPr>
          <w:bCs/>
          <w:snapToGrid w:val="0"/>
        </w:rPr>
        <w:t>Applying from 1 September 2019</w:t>
      </w:r>
    </w:p>
    <w:p w14:paraId="6838685D" w14:textId="77777777" w:rsidR="00581587" w:rsidRPr="00581587" w:rsidRDefault="00581587" w:rsidP="00581587">
      <w:pPr>
        <w:widowControl w:val="0"/>
        <w:rPr>
          <w:b/>
          <w:bCs/>
          <w:snapToGrid w:val="0"/>
          <w:u w:val="single"/>
        </w:rPr>
      </w:pPr>
    </w:p>
    <w:p w14:paraId="5708AF5F" w14:textId="77777777" w:rsidR="00581587" w:rsidRPr="00581587" w:rsidRDefault="00581587" w:rsidP="00581587">
      <w:pPr>
        <w:widowControl w:val="0"/>
        <w:jc w:val="both"/>
        <w:rPr>
          <w:b/>
          <w:snapToGrid w:val="0"/>
          <w:color w:val="000000"/>
        </w:rPr>
      </w:pPr>
      <w:r w:rsidRPr="00581587">
        <w:rPr>
          <w:b/>
          <w:snapToGrid w:val="0"/>
          <w:color w:val="000000"/>
        </w:rPr>
        <w:t>1. Objectives</w:t>
      </w:r>
    </w:p>
    <w:p w14:paraId="033CA575" w14:textId="77777777" w:rsidR="00581587" w:rsidRPr="00581587" w:rsidRDefault="00581587" w:rsidP="00581587">
      <w:pPr>
        <w:widowControl w:val="0"/>
        <w:jc w:val="both"/>
        <w:rPr>
          <w:bCs/>
          <w:snapToGrid w:val="0"/>
          <w:color w:val="000000"/>
          <w:u w:val="single"/>
        </w:rPr>
      </w:pPr>
    </w:p>
    <w:p w14:paraId="48A43A18" w14:textId="77777777" w:rsidR="00581587" w:rsidRPr="00581587" w:rsidRDefault="00581587" w:rsidP="00581587">
      <w:pPr>
        <w:widowControl w:val="0"/>
        <w:rPr>
          <w:bCs/>
          <w:snapToGrid w:val="0"/>
          <w:color w:val="000000"/>
        </w:rPr>
      </w:pPr>
      <w:r w:rsidRPr="00581587">
        <w:rPr>
          <w:bCs/>
          <w:snapToGrid w:val="0"/>
          <w:color w:val="000000"/>
        </w:rPr>
        <w:t xml:space="preserve">To identify the process by which the organisation manages early retirement, flexible </w:t>
      </w:r>
      <w:proofErr w:type="gramStart"/>
      <w:r w:rsidRPr="00581587">
        <w:rPr>
          <w:bCs/>
          <w:snapToGrid w:val="0"/>
          <w:color w:val="000000"/>
        </w:rPr>
        <w:t>retirement</w:t>
      </w:r>
      <w:proofErr w:type="gramEnd"/>
      <w:r w:rsidRPr="00581587">
        <w:rPr>
          <w:bCs/>
          <w:snapToGrid w:val="0"/>
          <w:color w:val="000000"/>
        </w:rPr>
        <w:t xml:space="preserve"> and redundancy. </w:t>
      </w:r>
      <w:r w:rsidRPr="00581587">
        <w:rPr>
          <w:bCs/>
          <w:snapToGrid w:val="0"/>
          <w:color w:val="000000"/>
        </w:rPr>
        <w:tab/>
      </w:r>
    </w:p>
    <w:p w14:paraId="5F557439" w14:textId="77777777" w:rsidR="00581587" w:rsidRPr="00581587" w:rsidRDefault="00581587" w:rsidP="00581587">
      <w:pPr>
        <w:widowControl w:val="0"/>
        <w:rPr>
          <w:bCs/>
          <w:snapToGrid w:val="0"/>
          <w:color w:val="000000"/>
        </w:rPr>
      </w:pPr>
    </w:p>
    <w:p w14:paraId="6C58A6D1" w14:textId="77777777" w:rsidR="00581587" w:rsidRPr="00581587" w:rsidRDefault="00581587" w:rsidP="00581587">
      <w:pPr>
        <w:widowControl w:val="0"/>
        <w:rPr>
          <w:bCs/>
          <w:snapToGrid w:val="0"/>
          <w:color w:val="000000"/>
        </w:rPr>
      </w:pPr>
      <w:r w:rsidRPr="00581587">
        <w:rPr>
          <w:bCs/>
          <w:snapToGrid w:val="0"/>
          <w:color w:val="000000"/>
        </w:rPr>
        <w:t xml:space="preserve">To identify how the organisation aims to mitigate redundancy. </w:t>
      </w:r>
    </w:p>
    <w:p w14:paraId="20048049" w14:textId="77777777" w:rsidR="00581587" w:rsidRPr="00581587" w:rsidRDefault="00581587" w:rsidP="00581587">
      <w:pPr>
        <w:widowControl w:val="0"/>
        <w:rPr>
          <w:bCs/>
          <w:snapToGrid w:val="0"/>
          <w:color w:val="000000"/>
        </w:rPr>
      </w:pPr>
    </w:p>
    <w:p w14:paraId="67BA3AC5" w14:textId="77777777" w:rsidR="00581587" w:rsidRPr="00581587" w:rsidRDefault="00581587" w:rsidP="00581587">
      <w:pPr>
        <w:widowControl w:val="0"/>
        <w:rPr>
          <w:bCs/>
          <w:snapToGrid w:val="0"/>
          <w:color w:val="000000"/>
        </w:rPr>
      </w:pPr>
      <w:r w:rsidRPr="00581587">
        <w:rPr>
          <w:bCs/>
          <w:snapToGrid w:val="0"/>
          <w:color w:val="000000"/>
        </w:rPr>
        <w:t xml:space="preserve">To identify local discretions that are applied to cases of early retirement including dismissals due to reason of redundancy or efficiency of the service. </w:t>
      </w:r>
    </w:p>
    <w:p w14:paraId="6E6D97FE" w14:textId="77777777" w:rsidR="00581587" w:rsidRPr="00581587" w:rsidRDefault="00581587" w:rsidP="00581587">
      <w:pPr>
        <w:widowControl w:val="0"/>
        <w:rPr>
          <w:bCs/>
          <w:snapToGrid w:val="0"/>
          <w:color w:val="000000"/>
        </w:rPr>
      </w:pPr>
    </w:p>
    <w:p w14:paraId="7D6CD1D9" w14:textId="77777777" w:rsidR="00581587" w:rsidRPr="00581587" w:rsidRDefault="00581587" w:rsidP="00581587">
      <w:pPr>
        <w:widowControl w:val="0"/>
        <w:rPr>
          <w:bCs/>
          <w:snapToGrid w:val="0"/>
          <w:color w:val="000000"/>
        </w:rPr>
      </w:pPr>
      <w:r w:rsidRPr="00581587">
        <w:rPr>
          <w:bCs/>
          <w:snapToGrid w:val="0"/>
          <w:color w:val="000000"/>
        </w:rPr>
        <w:t>To protect the ongoing viability of the pension fund through control of pension enhancements and early release of pension benefits.</w:t>
      </w:r>
    </w:p>
    <w:p w14:paraId="52BB654C" w14:textId="77777777" w:rsidR="00581587" w:rsidRPr="00581587" w:rsidRDefault="00581587" w:rsidP="00581587">
      <w:pPr>
        <w:widowControl w:val="0"/>
        <w:jc w:val="both"/>
        <w:rPr>
          <w:bCs/>
          <w:snapToGrid w:val="0"/>
          <w:color w:val="000000"/>
        </w:rPr>
      </w:pPr>
    </w:p>
    <w:p w14:paraId="7A29EB00" w14:textId="77777777" w:rsidR="00581587" w:rsidRPr="00581587" w:rsidRDefault="00581587" w:rsidP="00581587">
      <w:pPr>
        <w:widowControl w:val="0"/>
        <w:jc w:val="both"/>
        <w:rPr>
          <w:bCs/>
          <w:snapToGrid w:val="0"/>
          <w:color w:val="000000"/>
        </w:rPr>
      </w:pPr>
    </w:p>
    <w:p w14:paraId="35294966" w14:textId="77777777" w:rsidR="00581587" w:rsidRPr="00581587" w:rsidRDefault="00581587" w:rsidP="00581587">
      <w:pPr>
        <w:widowControl w:val="0"/>
        <w:jc w:val="both"/>
        <w:rPr>
          <w:b/>
          <w:snapToGrid w:val="0"/>
          <w:color w:val="000000"/>
        </w:rPr>
      </w:pPr>
      <w:r w:rsidRPr="00581587">
        <w:rPr>
          <w:b/>
          <w:snapToGrid w:val="0"/>
          <w:color w:val="000000"/>
        </w:rPr>
        <w:t>2. Discretions</w:t>
      </w:r>
    </w:p>
    <w:p w14:paraId="0BF1A533" w14:textId="77777777" w:rsidR="00581587" w:rsidRPr="00581587" w:rsidRDefault="00581587" w:rsidP="00581587">
      <w:pPr>
        <w:widowControl w:val="0"/>
        <w:jc w:val="both"/>
        <w:rPr>
          <w:bCs/>
          <w:snapToGrid w:val="0"/>
          <w:color w:val="000000"/>
        </w:rPr>
      </w:pPr>
    </w:p>
    <w:p w14:paraId="505B5285" w14:textId="77777777" w:rsidR="00581587" w:rsidRPr="00581587" w:rsidRDefault="00581587" w:rsidP="00581587">
      <w:pPr>
        <w:autoSpaceDE w:val="0"/>
        <w:autoSpaceDN w:val="0"/>
        <w:adjustRightInd w:val="0"/>
        <w:spacing w:after="200"/>
        <w:rPr>
          <w:rFonts w:eastAsia="Calibri" w:cs="Arial"/>
          <w:color w:val="000000"/>
          <w:szCs w:val="24"/>
        </w:rPr>
      </w:pPr>
      <w:r w:rsidRPr="00581587">
        <w:rPr>
          <w:rFonts w:eastAsia="Calibri" w:cs="Arial"/>
          <w:color w:val="000000"/>
          <w:szCs w:val="24"/>
        </w:rPr>
        <w:t xml:space="preserve">In accordance with the legal requirement under Regulation 60(5) of the Local Government Pension Scheme 2013 a range of local discretion policy statements have been adopted by the Council. These discretions are published on the Council’s website. </w:t>
      </w:r>
    </w:p>
    <w:p w14:paraId="5A798C9C" w14:textId="77777777" w:rsidR="00581587" w:rsidRPr="00581587" w:rsidRDefault="00581587" w:rsidP="00581587">
      <w:pPr>
        <w:autoSpaceDE w:val="0"/>
        <w:autoSpaceDN w:val="0"/>
        <w:adjustRightInd w:val="0"/>
        <w:spacing w:after="200"/>
        <w:rPr>
          <w:rFonts w:eastAsia="Calibri" w:cs="Arial"/>
          <w:color w:val="000000"/>
          <w:spacing w:val="-5"/>
          <w:szCs w:val="24"/>
        </w:rPr>
      </w:pPr>
      <w:r w:rsidRPr="00581587">
        <w:rPr>
          <w:rFonts w:eastAsia="Calibri" w:cs="Arial"/>
          <w:color w:val="000000"/>
          <w:szCs w:val="24"/>
        </w:rPr>
        <w:t xml:space="preserve">Relevant to this policy is the discretion applied through the </w:t>
      </w:r>
      <w:r w:rsidRPr="00581587">
        <w:rPr>
          <w:rFonts w:eastAsia="Calibri" w:cs="Arial"/>
          <w:color w:val="000000"/>
          <w:spacing w:val="-5"/>
          <w:szCs w:val="24"/>
        </w:rPr>
        <w:t xml:space="preserve">Local Government (Early Termination of Employment) (Discretionary Compensation) (England </w:t>
      </w:r>
      <w:proofErr w:type="gramStart"/>
      <w:r w:rsidRPr="00581587">
        <w:rPr>
          <w:rFonts w:eastAsia="Calibri" w:cs="Arial"/>
          <w:color w:val="000000"/>
          <w:spacing w:val="-5"/>
          <w:szCs w:val="24"/>
        </w:rPr>
        <w:t>And</w:t>
      </w:r>
      <w:proofErr w:type="gramEnd"/>
      <w:r w:rsidRPr="00581587">
        <w:rPr>
          <w:rFonts w:eastAsia="Calibri" w:cs="Arial"/>
          <w:color w:val="000000"/>
          <w:spacing w:val="-5"/>
          <w:szCs w:val="24"/>
        </w:rPr>
        <w:t xml:space="preserve"> Wales) Regulations 2006 (Regulation 5) under which statutory redundancy payments are calculated using an actual week’s pay.</w:t>
      </w:r>
    </w:p>
    <w:p w14:paraId="041423C7" w14:textId="77777777" w:rsidR="00581587" w:rsidRPr="00581587" w:rsidRDefault="00581587" w:rsidP="00581587">
      <w:pPr>
        <w:autoSpaceDE w:val="0"/>
        <w:autoSpaceDN w:val="0"/>
        <w:adjustRightInd w:val="0"/>
        <w:spacing w:after="200"/>
        <w:rPr>
          <w:rFonts w:eastAsia="Calibri" w:cs="Arial"/>
          <w:color w:val="000000"/>
          <w:spacing w:val="-5"/>
          <w:szCs w:val="24"/>
        </w:rPr>
      </w:pPr>
      <w:r w:rsidRPr="00581587">
        <w:rPr>
          <w:rFonts w:eastAsia="Calibri" w:cs="Arial"/>
          <w:color w:val="000000"/>
          <w:spacing w:val="-5"/>
          <w:szCs w:val="24"/>
        </w:rPr>
        <w:t>A fixed discretionary payment will be made for all dismissals due to the reason of redundancy or efficiency of the service. For redundancy dismissals this will be a compensatory payment equivalent to 30% of the value of the statutory redundancy payment (calculated using actual week’s pay); this to be paid in addition to any required statutory redundancy payment. For dismissals due to efficiency of the service a compensatory payment will be made equivalent to 30% of the value of a notional redundancy payment calculated using actual week’s pay as if the reason for dismissal was redundancy; there is no provision for any statutory payment and no other compensatory payment will be made.</w:t>
      </w:r>
    </w:p>
    <w:p w14:paraId="13AD3A60" w14:textId="77777777" w:rsidR="00581587" w:rsidRPr="00581587" w:rsidRDefault="00581587" w:rsidP="00581587">
      <w:pPr>
        <w:autoSpaceDE w:val="0"/>
        <w:autoSpaceDN w:val="0"/>
        <w:adjustRightInd w:val="0"/>
        <w:spacing w:after="200"/>
        <w:rPr>
          <w:rFonts w:eastAsia="Calibri" w:cs="Arial"/>
          <w:color w:val="000000"/>
          <w:spacing w:val="-5"/>
          <w:szCs w:val="24"/>
        </w:rPr>
      </w:pPr>
      <w:r w:rsidRPr="00581587">
        <w:rPr>
          <w:rFonts w:eastAsia="Calibri" w:cs="Arial"/>
          <w:color w:val="000000"/>
          <w:spacing w:val="-5"/>
          <w:szCs w:val="24"/>
        </w:rPr>
        <w:t xml:space="preserve">For these reasons of dismissal (redundancy or efficiency), should the employee be age 55 or above and a member of the Local Government Pension Scheme then pension will be released at the point of dismissal.  </w:t>
      </w:r>
    </w:p>
    <w:p w14:paraId="77A52760" w14:textId="77777777" w:rsidR="00581587" w:rsidRPr="00581587" w:rsidRDefault="00581587" w:rsidP="00581587">
      <w:pPr>
        <w:widowControl w:val="0"/>
        <w:jc w:val="both"/>
        <w:rPr>
          <w:rFonts w:cs="Arial"/>
          <w:bCs/>
          <w:snapToGrid w:val="0"/>
          <w:color w:val="000000"/>
        </w:rPr>
      </w:pPr>
    </w:p>
    <w:p w14:paraId="15E4780D" w14:textId="77777777" w:rsidR="00581587" w:rsidRPr="00581587" w:rsidRDefault="00581587" w:rsidP="00581587">
      <w:pPr>
        <w:widowControl w:val="0"/>
        <w:jc w:val="both"/>
        <w:rPr>
          <w:rFonts w:cs="Arial"/>
          <w:bCs/>
          <w:snapToGrid w:val="0"/>
          <w:color w:val="000000"/>
        </w:rPr>
      </w:pPr>
      <w:r w:rsidRPr="00581587">
        <w:rPr>
          <w:rFonts w:cs="Arial"/>
          <w:bCs/>
          <w:snapToGrid w:val="0"/>
          <w:color w:val="000000"/>
        </w:rPr>
        <w:t xml:space="preserve"> </w:t>
      </w:r>
    </w:p>
    <w:p w14:paraId="78DE4D08" w14:textId="77777777" w:rsidR="00581587" w:rsidRPr="00581587" w:rsidRDefault="00581587" w:rsidP="00581587">
      <w:pPr>
        <w:spacing w:after="200" w:line="276" w:lineRule="auto"/>
        <w:rPr>
          <w:b/>
          <w:snapToGrid w:val="0"/>
          <w:color w:val="000000"/>
        </w:rPr>
      </w:pPr>
      <w:r w:rsidRPr="00581587">
        <w:rPr>
          <w:rFonts w:cs="Arial"/>
          <w:bCs/>
          <w:snapToGrid w:val="0"/>
          <w:color w:val="000000"/>
        </w:rPr>
        <w:br w:type="page"/>
      </w:r>
      <w:r w:rsidRPr="00581587">
        <w:rPr>
          <w:b/>
          <w:snapToGrid w:val="0"/>
          <w:color w:val="000000"/>
        </w:rPr>
        <w:t>3. Redeployment (mitigating redundancy)</w:t>
      </w:r>
    </w:p>
    <w:p w14:paraId="033E2299" w14:textId="77777777" w:rsidR="00581587" w:rsidRPr="00581587" w:rsidRDefault="00581587" w:rsidP="00581587">
      <w:pPr>
        <w:widowControl w:val="0"/>
        <w:jc w:val="both"/>
        <w:rPr>
          <w:bCs/>
          <w:snapToGrid w:val="0"/>
          <w:color w:val="000000"/>
        </w:rPr>
      </w:pPr>
      <w:r w:rsidRPr="00581587">
        <w:rPr>
          <w:bCs/>
          <w:snapToGrid w:val="0"/>
          <w:color w:val="000000"/>
        </w:rPr>
        <w:t xml:space="preserve">3.1 Prior to dismissal due to reasons of redundancy, efficiency of the service, capability or ill-health, appropriate opportunities for suitable redeployment will be explored. Where these exist employees at risk will be considered for placement into other posts through the processes identified in existing Council protocols. </w:t>
      </w:r>
    </w:p>
    <w:p w14:paraId="01C1F046" w14:textId="77777777" w:rsidR="00581587" w:rsidRPr="00581587" w:rsidRDefault="00581587" w:rsidP="00581587">
      <w:pPr>
        <w:widowControl w:val="0"/>
        <w:jc w:val="both"/>
        <w:rPr>
          <w:bCs/>
          <w:snapToGrid w:val="0"/>
          <w:color w:val="000000"/>
        </w:rPr>
      </w:pPr>
    </w:p>
    <w:p w14:paraId="082B52C0" w14:textId="77777777" w:rsidR="00581587" w:rsidRPr="00581587" w:rsidRDefault="00581587" w:rsidP="00581587">
      <w:pPr>
        <w:widowControl w:val="0"/>
        <w:jc w:val="both"/>
        <w:rPr>
          <w:bCs/>
          <w:snapToGrid w:val="0"/>
          <w:color w:val="000000"/>
        </w:rPr>
      </w:pPr>
      <w:r w:rsidRPr="00581587">
        <w:rPr>
          <w:bCs/>
          <w:snapToGrid w:val="0"/>
          <w:color w:val="000000"/>
        </w:rPr>
        <w:t xml:space="preserve">3.2 Although the process for redeployment is governed by the processes identified in the Council protocols, in general terms support to employees potentially under threat will be offered. Such support might include: </w:t>
      </w:r>
    </w:p>
    <w:p w14:paraId="01124566" w14:textId="77777777" w:rsidR="00581587" w:rsidRPr="00581587" w:rsidRDefault="00581587" w:rsidP="00581587">
      <w:pPr>
        <w:widowControl w:val="0"/>
        <w:jc w:val="both"/>
        <w:rPr>
          <w:bCs/>
          <w:snapToGrid w:val="0"/>
          <w:color w:val="000000"/>
        </w:rPr>
      </w:pPr>
    </w:p>
    <w:p w14:paraId="34FD0801" w14:textId="77777777" w:rsidR="00581587" w:rsidRPr="00581587" w:rsidRDefault="00581587" w:rsidP="00D32888">
      <w:pPr>
        <w:widowControl w:val="0"/>
        <w:numPr>
          <w:ilvl w:val="0"/>
          <w:numId w:val="37"/>
        </w:numPr>
        <w:spacing w:after="200" w:line="276" w:lineRule="auto"/>
        <w:contextualSpacing/>
        <w:jc w:val="both"/>
        <w:rPr>
          <w:bCs/>
          <w:snapToGrid w:val="0"/>
          <w:color w:val="000000"/>
        </w:rPr>
      </w:pPr>
      <w:r w:rsidRPr="00581587">
        <w:rPr>
          <w:bCs/>
          <w:snapToGrid w:val="0"/>
          <w:color w:val="000000"/>
        </w:rPr>
        <w:t xml:space="preserve">To make reasonable adjustments to duties and workplace to accommodate the employee’s </w:t>
      </w:r>
      <w:proofErr w:type="gramStart"/>
      <w:r w:rsidRPr="00581587">
        <w:rPr>
          <w:bCs/>
          <w:snapToGrid w:val="0"/>
          <w:color w:val="000000"/>
        </w:rPr>
        <w:t>needs</w:t>
      </w:r>
      <w:proofErr w:type="gramEnd"/>
    </w:p>
    <w:p w14:paraId="6A28ED9D" w14:textId="77777777" w:rsidR="00581587" w:rsidRPr="00581587" w:rsidRDefault="00581587" w:rsidP="00D32888">
      <w:pPr>
        <w:widowControl w:val="0"/>
        <w:numPr>
          <w:ilvl w:val="0"/>
          <w:numId w:val="13"/>
        </w:numPr>
        <w:spacing w:after="200" w:line="276" w:lineRule="auto"/>
        <w:jc w:val="both"/>
        <w:rPr>
          <w:bCs/>
          <w:snapToGrid w:val="0"/>
          <w:color w:val="000000"/>
        </w:rPr>
      </w:pPr>
      <w:r w:rsidRPr="00581587">
        <w:rPr>
          <w:bCs/>
          <w:snapToGrid w:val="0"/>
          <w:color w:val="000000"/>
        </w:rPr>
        <w:t xml:space="preserve">To offer reasonable training and development where appropriate to enable the employee to undertake the duties of the redeployment within a reasonable length of </w:t>
      </w:r>
      <w:proofErr w:type="gramStart"/>
      <w:r w:rsidRPr="00581587">
        <w:rPr>
          <w:bCs/>
          <w:snapToGrid w:val="0"/>
          <w:color w:val="000000"/>
        </w:rPr>
        <w:t>time</w:t>
      </w:r>
      <w:proofErr w:type="gramEnd"/>
    </w:p>
    <w:p w14:paraId="3F309EB4" w14:textId="77777777" w:rsidR="00581587" w:rsidRPr="00581587" w:rsidRDefault="00581587" w:rsidP="00D32888">
      <w:pPr>
        <w:widowControl w:val="0"/>
        <w:numPr>
          <w:ilvl w:val="0"/>
          <w:numId w:val="13"/>
        </w:numPr>
        <w:spacing w:after="200" w:line="276" w:lineRule="auto"/>
        <w:jc w:val="both"/>
        <w:rPr>
          <w:bCs/>
          <w:snapToGrid w:val="0"/>
          <w:color w:val="000000"/>
        </w:rPr>
      </w:pPr>
      <w:r w:rsidRPr="00581587">
        <w:rPr>
          <w:bCs/>
          <w:snapToGrid w:val="0"/>
          <w:color w:val="000000"/>
        </w:rPr>
        <w:t xml:space="preserve">To offer general support for skills development including trial interviews, C.V. writing </w:t>
      </w:r>
      <w:proofErr w:type="gramStart"/>
      <w:r w:rsidRPr="00581587">
        <w:rPr>
          <w:bCs/>
          <w:snapToGrid w:val="0"/>
          <w:color w:val="000000"/>
        </w:rPr>
        <w:t>and  training</w:t>
      </w:r>
      <w:proofErr w:type="gramEnd"/>
      <w:r w:rsidRPr="00581587">
        <w:rPr>
          <w:bCs/>
          <w:snapToGrid w:val="0"/>
          <w:color w:val="000000"/>
        </w:rPr>
        <w:t xml:space="preserve"> in application form completion    </w:t>
      </w:r>
    </w:p>
    <w:p w14:paraId="47452885" w14:textId="77777777" w:rsidR="00581587" w:rsidRPr="00581587" w:rsidRDefault="00581587" w:rsidP="00D32888">
      <w:pPr>
        <w:widowControl w:val="0"/>
        <w:numPr>
          <w:ilvl w:val="0"/>
          <w:numId w:val="13"/>
        </w:numPr>
        <w:spacing w:after="200" w:line="276" w:lineRule="auto"/>
        <w:jc w:val="both"/>
        <w:rPr>
          <w:bCs/>
          <w:snapToGrid w:val="0"/>
          <w:color w:val="000000"/>
        </w:rPr>
      </w:pPr>
      <w:r w:rsidRPr="00581587">
        <w:rPr>
          <w:bCs/>
          <w:snapToGrid w:val="0"/>
          <w:color w:val="000000"/>
        </w:rPr>
        <w:t xml:space="preserve">To offer trial periods of 4 weeks in a potentially suitable alternative post as required in the Employment Protection (Consolidation) Act and to extend this if it will assist in securing a </w:t>
      </w:r>
      <w:proofErr w:type="gramStart"/>
      <w:r w:rsidRPr="00581587">
        <w:rPr>
          <w:bCs/>
          <w:snapToGrid w:val="0"/>
          <w:color w:val="000000"/>
        </w:rPr>
        <w:t>redeployment</w:t>
      </w:r>
      <w:proofErr w:type="gramEnd"/>
    </w:p>
    <w:p w14:paraId="43305AF2" w14:textId="77777777" w:rsidR="00581587" w:rsidRPr="00581587" w:rsidRDefault="00581587" w:rsidP="00D32888">
      <w:pPr>
        <w:widowControl w:val="0"/>
        <w:numPr>
          <w:ilvl w:val="0"/>
          <w:numId w:val="13"/>
        </w:numPr>
        <w:spacing w:after="200" w:line="276" w:lineRule="auto"/>
        <w:jc w:val="both"/>
        <w:rPr>
          <w:bCs/>
          <w:snapToGrid w:val="0"/>
          <w:color w:val="000000"/>
        </w:rPr>
      </w:pPr>
      <w:r w:rsidRPr="00581587">
        <w:rPr>
          <w:bCs/>
          <w:snapToGrid w:val="0"/>
          <w:color w:val="000000"/>
        </w:rPr>
        <w:t>To notify and consult with the Trade Unions as required by legislation.</w:t>
      </w:r>
    </w:p>
    <w:p w14:paraId="311DCD95" w14:textId="77777777" w:rsidR="00581587" w:rsidRPr="00581587" w:rsidRDefault="00581587" w:rsidP="00581587">
      <w:pPr>
        <w:widowControl w:val="0"/>
        <w:jc w:val="both"/>
        <w:rPr>
          <w:bCs/>
          <w:snapToGrid w:val="0"/>
          <w:color w:val="000000"/>
        </w:rPr>
      </w:pPr>
    </w:p>
    <w:p w14:paraId="5F649489" w14:textId="77777777" w:rsidR="00581587" w:rsidRPr="00581587" w:rsidRDefault="00581587" w:rsidP="00581587">
      <w:pPr>
        <w:widowControl w:val="0"/>
        <w:jc w:val="both"/>
        <w:rPr>
          <w:bCs/>
          <w:snapToGrid w:val="0"/>
          <w:color w:val="000000"/>
        </w:rPr>
      </w:pPr>
      <w:r w:rsidRPr="00581587">
        <w:rPr>
          <w:bCs/>
          <w:snapToGrid w:val="0"/>
          <w:color w:val="000000"/>
        </w:rPr>
        <w:t xml:space="preserve">3.3 Where suitable alternative employment exists in the view of the Council, employees are expected to engage with the redeployment process. Failure to do so may affect the reason for dismissal (the Council may take the view that there is no redundancy to declare if suitable redeployment opportunities are rejected) and this may mean that redundancy payment is not </w:t>
      </w:r>
      <w:proofErr w:type="gramStart"/>
      <w:r w:rsidRPr="00581587">
        <w:rPr>
          <w:bCs/>
          <w:snapToGrid w:val="0"/>
          <w:color w:val="000000"/>
        </w:rPr>
        <w:t>made</w:t>
      </w:r>
      <w:proofErr w:type="gramEnd"/>
      <w:r w:rsidRPr="00581587">
        <w:rPr>
          <w:bCs/>
          <w:snapToGrid w:val="0"/>
          <w:color w:val="000000"/>
        </w:rPr>
        <w:t xml:space="preserve"> and that pension is not released. </w:t>
      </w:r>
    </w:p>
    <w:p w14:paraId="30A32995" w14:textId="77777777" w:rsidR="00581587" w:rsidRPr="00581587" w:rsidRDefault="00581587" w:rsidP="00581587">
      <w:pPr>
        <w:widowControl w:val="0"/>
        <w:jc w:val="both"/>
        <w:rPr>
          <w:bCs/>
          <w:snapToGrid w:val="0"/>
          <w:color w:val="000000"/>
        </w:rPr>
      </w:pPr>
    </w:p>
    <w:p w14:paraId="7E7EFC7C" w14:textId="77777777" w:rsidR="00581587" w:rsidRPr="00581587" w:rsidRDefault="00581587" w:rsidP="00581587">
      <w:pPr>
        <w:widowControl w:val="0"/>
        <w:jc w:val="both"/>
        <w:rPr>
          <w:bCs/>
          <w:snapToGrid w:val="0"/>
          <w:color w:val="000000"/>
          <w:u w:val="single"/>
        </w:rPr>
      </w:pPr>
      <w:r w:rsidRPr="00581587">
        <w:rPr>
          <w:bCs/>
          <w:snapToGrid w:val="0"/>
          <w:color w:val="000000"/>
        </w:rPr>
        <w:t xml:space="preserve"> Employees at risk are expected:</w:t>
      </w:r>
    </w:p>
    <w:p w14:paraId="68A92C90" w14:textId="77777777" w:rsidR="00581587" w:rsidRPr="00581587" w:rsidRDefault="00581587" w:rsidP="00581587">
      <w:pPr>
        <w:widowControl w:val="0"/>
        <w:jc w:val="both"/>
        <w:rPr>
          <w:bCs/>
          <w:snapToGrid w:val="0"/>
          <w:color w:val="000000"/>
          <w:u w:val="single"/>
        </w:rPr>
      </w:pPr>
    </w:p>
    <w:p w14:paraId="3D1F728B" w14:textId="77777777" w:rsidR="00581587" w:rsidRPr="00581587" w:rsidRDefault="00581587" w:rsidP="00D32888">
      <w:pPr>
        <w:widowControl w:val="0"/>
        <w:numPr>
          <w:ilvl w:val="0"/>
          <w:numId w:val="14"/>
        </w:numPr>
        <w:spacing w:after="200" w:line="276" w:lineRule="auto"/>
        <w:jc w:val="both"/>
        <w:rPr>
          <w:bCs/>
          <w:snapToGrid w:val="0"/>
          <w:color w:val="000000"/>
        </w:rPr>
      </w:pPr>
      <w:r w:rsidRPr="00581587">
        <w:rPr>
          <w:bCs/>
          <w:snapToGrid w:val="0"/>
          <w:color w:val="000000"/>
        </w:rPr>
        <w:t xml:space="preserve">To give meaningful consideration of redeployment opportunities made available to </w:t>
      </w:r>
      <w:proofErr w:type="gramStart"/>
      <w:r w:rsidRPr="00581587">
        <w:rPr>
          <w:bCs/>
          <w:snapToGrid w:val="0"/>
          <w:color w:val="000000"/>
        </w:rPr>
        <w:t>them</w:t>
      </w:r>
      <w:proofErr w:type="gramEnd"/>
    </w:p>
    <w:p w14:paraId="7A7A1D5A" w14:textId="77777777" w:rsidR="00581587" w:rsidRPr="00581587" w:rsidRDefault="00581587" w:rsidP="00D32888">
      <w:pPr>
        <w:widowControl w:val="0"/>
        <w:numPr>
          <w:ilvl w:val="0"/>
          <w:numId w:val="14"/>
        </w:numPr>
        <w:spacing w:after="200" w:line="276" w:lineRule="auto"/>
        <w:jc w:val="both"/>
        <w:rPr>
          <w:bCs/>
          <w:snapToGrid w:val="0"/>
          <w:color w:val="000000"/>
        </w:rPr>
      </w:pPr>
      <w:r w:rsidRPr="00581587">
        <w:rPr>
          <w:bCs/>
          <w:snapToGrid w:val="0"/>
          <w:color w:val="000000"/>
        </w:rPr>
        <w:t xml:space="preserve">To undertake required training and development in order to undertake the duties of a suitable </w:t>
      </w:r>
      <w:proofErr w:type="gramStart"/>
      <w:r w:rsidRPr="00581587">
        <w:rPr>
          <w:bCs/>
          <w:snapToGrid w:val="0"/>
          <w:color w:val="000000"/>
        </w:rPr>
        <w:t>post</w:t>
      </w:r>
      <w:proofErr w:type="gramEnd"/>
    </w:p>
    <w:p w14:paraId="39C50440" w14:textId="77777777" w:rsidR="00581587" w:rsidRPr="00581587" w:rsidRDefault="00581587" w:rsidP="00D32888">
      <w:pPr>
        <w:widowControl w:val="0"/>
        <w:numPr>
          <w:ilvl w:val="0"/>
          <w:numId w:val="14"/>
        </w:numPr>
        <w:spacing w:after="200" w:line="276" w:lineRule="auto"/>
        <w:jc w:val="both"/>
        <w:rPr>
          <w:bCs/>
          <w:snapToGrid w:val="0"/>
          <w:color w:val="000000"/>
        </w:rPr>
      </w:pPr>
      <w:r w:rsidRPr="00581587">
        <w:rPr>
          <w:bCs/>
          <w:snapToGrid w:val="0"/>
          <w:color w:val="000000"/>
        </w:rPr>
        <w:t xml:space="preserve">To make every effort to mitigate the requirement for redeployment by actively seeking alternative </w:t>
      </w:r>
      <w:proofErr w:type="gramStart"/>
      <w:r w:rsidRPr="00581587">
        <w:rPr>
          <w:bCs/>
          <w:snapToGrid w:val="0"/>
          <w:color w:val="000000"/>
        </w:rPr>
        <w:t>employment</w:t>
      </w:r>
      <w:proofErr w:type="gramEnd"/>
    </w:p>
    <w:p w14:paraId="5640DD25" w14:textId="77777777" w:rsidR="00581587" w:rsidRPr="00581587" w:rsidRDefault="00581587" w:rsidP="00D32888">
      <w:pPr>
        <w:widowControl w:val="0"/>
        <w:numPr>
          <w:ilvl w:val="0"/>
          <w:numId w:val="14"/>
        </w:numPr>
        <w:spacing w:after="200" w:line="276" w:lineRule="auto"/>
        <w:jc w:val="both"/>
        <w:rPr>
          <w:bCs/>
          <w:snapToGrid w:val="0"/>
          <w:color w:val="000000"/>
        </w:rPr>
      </w:pPr>
      <w:r w:rsidRPr="00581587">
        <w:rPr>
          <w:bCs/>
          <w:snapToGrid w:val="0"/>
          <w:color w:val="000000"/>
        </w:rPr>
        <w:t xml:space="preserve">To undertake trial periods with a positive approach to ensuring the redeployment will be </w:t>
      </w:r>
      <w:proofErr w:type="gramStart"/>
      <w:r w:rsidRPr="00581587">
        <w:rPr>
          <w:bCs/>
          <w:snapToGrid w:val="0"/>
          <w:color w:val="000000"/>
        </w:rPr>
        <w:t>successful</w:t>
      </w:r>
      <w:proofErr w:type="gramEnd"/>
    </w:p>
    <w:p w14:paraId="1170C2BD" w14:textId="77777777" w:rsidR="00581587" w:rsidRPr="00581587" w:rsidRDefault="00581587" w:rsidP="00581587">
      <w:pPr>
        <w:widowControl w:val="0"/>
        <w:jc w:val="both"/>
        <w:rPr>
          <w:bCs/>
          <w:snapToGrid w:val="0"/>
          <w:color w:val="FF0000"/>
        </w:rPr>
      </w:pPr>
    </w:p>
    <w:p w14:paraId="2DEB8E86" w14:textId="77777777" w:rsidR="00581587" w:rsidRPr="00581587" w:rsidRDefault="00581587" w:rsidP="00581587">
      <w:pPr>
        <w:widowControl w:val="0"/>
        <w:jc w:val="both"/>
        <w:rPr>
          <w:bCs/>
          <w:snapToGrid w:val="0"/>
          <w:color w:val="000000"/>
          <w:u w:val="single"/>
        </w:rPr>
      </w:pPr>
      <w:r w:rsidRPr="00581587">
        <w:rPr>
          <w:bCs/>
          <w:snapToGrid w:val="0"/>
          <w:color w:val="000000"/>
        </w:rPr>
        <w:t>3.4 Protection</w:t>
      </w:r>
    </w:p>
    <w:p w14:paraId="40C7778E" w14:textId="77777777" w:rsidR="00581587" w:rsidRPr="00581587" w:rsidRDefault="00581587" w:rsidP="00581587">
      <w:pPr>
        <w:widowControl w:val="0"/>
        <w:jc w:val="both"/>
        <w:rPr>
          <w:bCs/>
          <w:snapToGrid w:val="0"/>
          <w:color w:val="000000"/>
        </w:rPr>
      </w:pPr>
    </w:p>
    <w:p w14:paraId="3F426A5D" w14:textId="77777777" w:rsidR="00581587" w:rsidRPr="00581587" w:rsidRDefault="00581587" w:rsidP="00581587">
      <w:pPr>
        <w:widowControl w:val="0"/>
        <w:jc w:val="both"/>
        <w:rPr>
          <w:bCs/>
          <w:snapToGrid w:val="0"/>
          <w:color w:val="000000"/>
        </w:rPr>
      </w:pPr>
      <w:r w:rsidRPr="00581587">
        <w:rPr>
          <w:bCs/>
          <w:snapToGrid w:val="0"/>
          <w:color w:val="000000"/>
        </w:rPr>
        <w:t xml:space="preserve">In any redeployment situation where an employee is redeployed to a lower-graded post or where a post grade is reduced then the provisions of the Council’s Pay Protection Policy will apply.  Consideration will be given to assistance with excess travelling expenses should there be a change of base.  Reimbursement will be made in accordance with local policy.  An allowance may also be considered for excess travelling time incurred by a move of base.  Both excess travelling expenses and additional travelling time will be applied in accordance with local policy that exists at the date of the start of the new post. </w:t>
      </w:r>
    </w:p>
    <w:p w14:paraId="71F73B36" w14:textId="77777777" w:rsidR="00581587" w:rsidRPr="00581587" w:rsidRDefault="00581587" w:rsidP="00581587">
      <w:pPr>
        <w:widowControl w:val="0"/>
        <w:jc w:val="both"/>
        <w:rPr>
          <w:bCs/>
          <w:snapToGrid w:val="0"/>
          <w:color w:val="000000"/>
        </w:rPr>
      </w:pPr>
    </w:p>
    <w:p w14:paraId="34A7871F" w14:textId="77777777" w:rsidR="00581587" w:rsidRPr="00581587" w:rsidRDefault="00581587" w:rsidP="00581587">
      <w:pPr>
        <w:widowControl w:val="0"/>
        <w:jc w:val="both"/>
        <w:rPr>
          <w:bCs/>
          <w:snapToGrid w:val="0"/>
          <w:color w:val="000000"/>
        </w:rPr>
      </w:pPr>
      <w:r w:rsidRPr="00581587">
        <w:rPr>
          <w:bCs/>
          <w:snapToGrid w:val="0"/>
          <w:color w:val="000000"/>
        </w:rPr>
        <w:t>The Council’s Pay Protection Policy is shown at Appendix 18 and the Disturbance Allowance Scheme at Appendix 19.</w:t>
      </w:r>
    </w:p>
    <w:p w14:paraId="19F77785" w14:textId="77777777" w:rsidR="00581587" w:rsidRPr="00581587" w:rsidRDefault="00581587" w:rsidP="00581587">
      <w:pPr>
        <w:widowControl w:val="0"/>
        <w:jc w:val="both"/>
        <w:rPr>
          <w:bCs/>
          <w:snapToGrid w:val="0"/>
          <w:color w:val="FF0000"/>
        </w:rPr>
      </w:pPr>
    </w:p>
    <w:p w14:paraId="45B0F931" w14:textId="77777777" w:rsidR="00581587" w:rsidRPr="00581587" w:rsidRDefault="00581587" w:rsidP="00581587">
      <w:pPr>
        <w:widowControl w:val="0"/>
        <w:jc w:val="both"/>
        <w:rPr>
          <w:bCs/>
          <w:snapToGrid w:val="0"/>
          <w:color w:val="000000"/>
        </w:rPr>
      </w:pPr>
      <w:r w:rsidRPr="00581587">
        <w:rPr>
          <w:bCs/>
          <w:snapToGrid w:val="0"/>
          <w:color w:val="000000"/>
        </w:rPr>
        <w:t xml:space="preserve">3.5 Procedure </w:t>
      </w:r>
    </w:p>
    <w:p w14:paraId="31549868" w14:textId="77777777" w:rsidR="00581587" w:rsidRPr="00581587" w:rsidRDefault="00581587" w:rsidP="00581587">
      <w:pPr>
        <w:widowControl w:val="0"/>
        <w:jc w:val="both"/>
        <w:rPr>
          <w:bCs/>
          <w:snapToGrid w:val="0"/>
          <w:color w:val="000000"/>
        </w:rPr>
      </w:pPr>
    </w:p>
    <w:p w14:paraId="15678BD3" w14:textId="77777777" w:rsidR="00581587" w:rsidRPr="00581587" w:rsidRDefault="00581587" w:rsidP="00581587">
      <w:pPr>
        <w:widowControl w:val="0"/>
        <w:jc w:val="both"/>
        <w:rPr>
          <w:bCs/>
          <w:snapToGrid w:val="0"/>
          <w:color w:val="000000"/>
        </w:rPr>
      </w:pPr>
      <w:r w:rsidRPr="00581587">
        <w:rPr>
          <w:bCs/>
          <w:snapToGrid w:val="0"/>
          <w:color w:val="000000"/>
        </w:rPr>
        <w:t>The report proposing structural changes will be brought to Senior Leadership Team to seek support.</w:t>
      </w:r>
    </w:p>
    <w:p w14:paraId="406BE06A" w14:textId="77777777" w:rsidR="00581587" w:rsidRPr="00581587" w:rsidRDefault="00581587" w:rsidP="00581587">
      <w:pPr>
        <w:widowControl w:val="0"/>
        <w:jc w:val="both"/>
        <w:rPr>
          <w:bCs/>
          <w:snapToGrid w:val="0"/>
          <w:color w:val="000000"/>
        </w:rPr>
      </w:pPr>
    </w:p>
    <w:p w14:paraId="058D1648" w14:textId="77777777" w:rsidR="00581587" w:rsidRPr="00581587" w:rsidRDefault="00581587" w:rsidP="00581587">
      <w:pPr>
        <w:widowControl w:val="0"/>
        <w:jc w:val="both"/>
        <w:rPr>
          <w:bCs/>
          <w:snapToGrid w:val="0"/>
          <w:color w:val="000000"/>
        </w:rPr>
      </w:pPr>
      <w:r w:rsidRPr="00581587">
        <w:rPr>
          <w:bCs/>
          <w:snapToGrid w:val="0"/>
          <w:color w:val="000000"/>
        </w:rPr>
        <w:t xml:space="preserve">If supported, this report will be used as the basis of consultation with employees directly affected by the proposals and trade unions. Unless agreed otherwise or a longer </w:t>
      </w:r>
      <w:proofErr w:type="gramStart"/>
      <w:r w:rsidRPr="00581587">
        <w:rPr>
          <w:bCs/>
          <w:snapToGrid w:val="0"/>
          <w:color w:val="000000"/>
        </w:rPr>
        <w:t>period of time</w:t>
      </w:r>
      <w:proofErr w:type="gramEnd"/>
      <w:r w:rsidRPr="00581587">
        <w:rPr>
          <w:bCs/>
          <w:snapToGrid w:val="0"/>
          <w:color w:val="000000"/>
        </w:rPr>
        <w:t xml:space="preserve"> is required by law, a period of at least 30 days will be given for consultation.</w:t>
      </w:r>
    </w:p>
    <w:p w14:paraId="109C7E7C" w14:textId="77777777" w:rsidR="00581587" w:rsidRPr="00581587" w:rsidRDefault="00581587" w:rsidP="00581587">
      <w:pPr>
        <w:widowControl w:val="0"/>
        <w:jc w:val="both"/>
        <w:rPr>
          <w:bCs/>
          <w:snapToGrid w:val="0"/>
          <w:color w:val="000000"/>
        </w:rPr>
      </w:pPr>
    </w:p>
    <w:p w14:paraId="5EAD029C" w14:textId="77777777" w:rsidR="00581587" w:rsidRPr="00581587" w:rsidRDefault="00581587" w:rsidP="00581587">
      <w:pPr>
        <w:widowControl w:val="0"/>
        <w:jc w:val="both"/>
        <w:rPr>
          <w:bCs/>
          <w:snapToGrid w:val="0"/>
          <w:color w:val="000000"/>
        </w:rPr>
      </w:pPr>
      <w:r w:rsidRPr="00581587">
        <w:rPr>
          <w:bCs/>
          <w:snapToGrid w:val="0"/>
          <w:color w:val="000000"/>
        </w:rPr>
        <w:t xml:space="preserve">Should proposals be contentious in nature or if the proposals have a substantial effect in the ways that services might be delivered then the period of consultation will normally close at a meeting of the Joint Consultative and Safety Committee (JCSC). For proposals that are not contentious in nature then consultation may take place without formal consideration by the JCSC with the proposal only being reported later as an information item.   </w:t>
      </w:r>
    </w:p>
    <w:p w14:paraId="2E49F0EA" w14:textId="77777777" w:rsidR="00581587" w:rsidRPr="00581587" w:rsidRDefault="00581587" w:rsidP="00581587">
      <w:pPr>
        <w:widowControl w:val="0"/>
        <w:jc w:val="both"/>
        <w:rPr>
          <w:bCs/>
          <w:snapToGrid w:val="0"/>
          <w:color w:val="000000"/>
        </w:rPr>
      </w:pPr>
    </w:p>
    <w:p w14:paraId="65AC1D78" w14:textId="77777777" w:rsidR="00581587" w:rsidRPr="00581587" w:rsidRDefault="00581587" w:rsidP="00581587">
      <w:pPr>
        <w:rPr>
          <w:bCs/>
          <w:snapToGrid w:val="0"/>
          <w:color w:val="000000"/>
        </w:rPr>
      </w:pPr>
      <w:r w:rsidRPr="00581587">
        <w:rPr>
          <w:bCs/>
          <w:snapToGrid w:val="0"/>
          <w:color w:val="000000"/>
        </w:rPr>
        <w:t>Normally the implementation of structural change will be made by the Head of Paid Service. On occasions where the proposals are, in the opinion of the Head of Paid Service, significant in nature (whole service change, politically sensitive or whole council / senior management restructure) or require additional budget then the decision for implementation will be taken by the Appointments and Conditions of Service Committee or Full Council as the Head of Paid Service considers appropriate.</w:t>
      </w:r>
    </w:p>
    <w:p w14:paraId="16F363FB" w14:textId="77777777" w:rsidR="00581587" w:rsidRPr="00581587" w:rsidRDefault="00581587" w:rsidP="00581587">
      <w:pPr>
        <w:widowControl w:val="0"/>
        <w:jc w:val="both"/>
        <w:rPr>
          <w:bCs/>
          <w:snapToGrid w:val="0"/>
          <w:color w:val="000000"/>
        </w:rPr>
      </w:pPr>
    </w:p>
    <w:p w14:paraId="124F506E" w14:textId="77777777" w:rsidR="00581587" w:rsidRPr="00581587" w:rsidRDefault="00581587" w:rsidP="00581587">
      <w:pPr>
        <w:widowControl w:val="0"/>
        <w:jc w:val="both"/>
        <w:rPr>
          <w:bCs/>
          <w:snapToGrid w:val="0"/>
          <w:color w:val="000000"/>
        </w:rPr>
      </w:pPr>
      <w:r w:rsidRPr="00581587">
        <w:rPr>
          <w:bCs/>
          <w:snapToGrid w:val="0"/>
          <w:color w:val="000000"/>
        </w:rPr>
        <w:t>Employee consultation will allow for individual or group meetings with the manager proposing the structural change. An HR Officer will be present at such meetings at the request of either party.</w:t>
      </w:r>
    </w:p>
    <w:p w14:paraId="07CD40F0" w14:textId="77777777" w:rsidR="00581587" w:rsidRPr="00581587" w:rsidRDefault="00581587" w:rsidP="00581587">
      <w:pPr>
        <w:widowControl w:val="0"/>
        <w:jc w:val="both"/>
        <w:rPr>
          <w:bCs/>
          <w:snapToGrid w:val="0"/>
          <w:color w:val="000000"/>
        </w:rPr>
      </w:pPr>
    </w:p>
    <w:p w14:paraId="6840FAC5" w14:textId="77777777" w:rsidR="00581587" w:rsidRPr="00581587" w:rsidRDefault="00581587" w:rsidP="00581587">
      <w:pPr>
        <w:widowControl w:val="0"/>
        <w:jc w:val="both"/>
        <w:rPr>
          <w:bCs/>
          <w:snapToGrid w:val="0"/>
          <w:color w:val="000000"/>
        </w:rPr>
      </w:pPr>
      <w:r w:rsidRPr="00581587">
        <w:rPr>
          <w:bCs/>
          <w:snapToGrid w:val="0"/>
          <w:color w:val="000000"/>
        </w:rPr>
        <w:t>More general emotional support for affected employees will be offered through the Council’s Employee Assistance Programme or another similar service.</w:t>
      </w:r>
    </w:p>
    <w:p w14:paraId="1FE151A0" w14:textId="77777777" w:rsidR="00581587" w:rsidRPr="00581587" w:rsidRDefault="00581587" w:rsidP="00581587">
      <w:pPr>
        <w:widowControl w:val="0"/>
        <w:jc w:val="both"/>
        <w:rPr>
          <w:bCs/>
          <w:snapToGrid w:val="0"/>
          <w:color w:val="FF0000"/>
        </w:rPr>
      </w:pPr>
    </w:p>
    <w:p w14:paraId="22053CD8" w14:textId="77777777" w:rsidR="00581587" w:rsidRPr="00581587" w:rsidRDefault="00581587" w:rsidP="00581587">
      <w:pPr>
        <w:widowControl w:val="0"/>
        <w:jc w:val="both"/>
        <w:rPr>
          <w:bCs/>
          <w:snapToGrid w:val="0"/>
          <w:color w:val="FF0000"/>
        </w:rPr>
      </w:pPr>
    </w:p>
    <w:p w14:paraId="3DFBFC84" w14:textId="77777777" w:rsidR="00581587" w:rsidRPr="00581587" w:rsidRDefault="00581587" w:rsidP="00581587">
      <w:pPr>
        <w:widowControl w:val="0"/>
        <w:jc w:val="both"/>
        <w:rPr>
          <w:b/>
          <w:snapToGrid w:val="0"/>
          <w:color w:val="000000"/>
        </w:rPr>
      </w:pPr>
      <w:r w:rsidRPr="00581587">
        <w:rPr>
          <w:b/>
          <w:snapToGrid w:val="0"/>
          <w:color w:val="000000"/>
        </w:rPr>
        <w:t xml:space="preserve">4. </w:t>
      </w:r>
      <w:r w:rsidRPr="00581587">
        <w:rPr>
          <w:b/>
          <w:snapToGrid w:val="0"/>
          <w:color w:val="000000"/>
        </w:rPr>
        <w:tab/>
        <w:t>Policies and Procedures</w:t>
      </w:r>
    </w:p>
    <w:p w14:paraId="071329D3" w14:textId="77777777" w:rsidR="00581587" w:rsidRPr="00581587" w:rsidRDefault="00581587" w:rsidP="00581587">
      <w:pPr>
        <w:widowControl w:val="0"/>
        <w:jc w:val="both"/>
        <w:rPr>
          <w:bCs/>
          <w:snapToGrid w:val="0"/>
          <w:color w:val="000000"/>
        </w:rPr>
      </w:pPr>
    </w:p>
    <w:p w14:paraId="05383D47" w14:textId="77777777" w:rsidR="00581587" w:rsidRPr="00581587" w:rsidRDefault="00581587" w:rsidP="00581587">
      <w:pPr>
        <w:widowControl w:val="0"/>
        <w:jc w:val="both"/>
        <w:rPr>
          <w:bCs/>
          <w:snapToGrid w:val="0"/>
          <w:color w:val="000000"/>
          <w:u w:val="single"/>
        </w:rPr>
      </w:pPr>
      <w:r w:rsidRPr="00581587">
        <w:rPr>
          <w:bCs/>
          <w:snapToGrid w:val="0"/>
          <w:color w:val="000000"/>
        </w:rPr>
        <w:t>4.1. Capability due to ill-health (and ill-health retirement)</w:t>
      </w:r>
    </w:p>
    <w:p w14:paraId="5993740E" w14:textId="77777777" w:rsidR="00581587" w:rsidRPr="00581587" w:rsidRDefault="00581587" w:rsidP="00581587">
      <w:pPr>
        <w:widowControl w:val="0"/>
        <w:jc w:val="both"/>
        <w:rPr>
          <w:bCs/>
          <w:snapToGrid w:val="0"/>
          <w:color w:val="000000"/>
        </w:rPr>
      </w:pPr>
    </w:p>
    <w:p w14:paraId="08D81DD2" w14:textId="77777777" w:rsidR="00581587" w:rsidRPr="00581587" w:rsidRDefault="00581587" w:rsidP="00581587">
      <w:pPr>
        <w:widowControl w:val="0"/>
        <w:jc w:val="both"/>
        <w:rPr>
          <w:bCs/>
          <w:snapToGrid w:val="0"/>
          <w:color w:val="000000"/>
        </w:rPr>
      </w:pPr>
      <w:r w:rsidRPr="00581587">
        <w:rPr>
          <w:bCs/>
          <w:snapToGrid w:val="0"/>
          <w:color w:val="000000"/>
        </w:rPr>
        <w:t>This arises when an employee is no longer able to carry out the duties of their post, or comparable due to ill health and in the Council’s opinion as the employer, there is no opportunity to redeploy to another suitable post within the organisation. This dismissal is for the reason of capability due to ill-health. Advice will normally be obtained from an Occupational Health Consultant to support the decision to dismiss for this reason.</w:t>
      </w:r>
    </w:p>
    <w:p w14:paraId="65FCC7DF" w14:textId="77777777" w:rsidR="00581587" w:rsidRPr="00581587" w:rsidRDefault="00581587" w:rsidP="00581587">
      <w:pPr>
        <w:widowControl w:val="0"/>
        <w:jc w:val="both"/>
        <w:rPr>
          <w:bCs/>
          <w:snapToGrid w:val="0"/>
          <w:color w:val="000000"/>
        </w:rPr>
      </w:pPr>
    </w:p>
    <w:p w14:paraId="2D8C93E6" w14:textId="77777777" w:rsidR="00581587" w:rsidRPr="00581587" w:rsidRDefault="00581587" w:rsidP="00581587">
      <w:pPr>
        <w:widowControl w:val="0"/>
        <w:jc w:val="both"/>
        <w:rPr>
          <w:bCs/>
          <w:snapToGrid w:val="0"/>
          <w:color w:val="000000"/>
        </w:rPr>
      </w:pPr>
      <w:r w:rsidRPr="00581587">
        <w:rPr>
          <w:bCs/>
          <w:snapToGrid w:val="0"/>
          <w:color w:val="000000"/>
        </w:rPr>
        <w:t>For employees who are members of the Local Government Pension Scheme (LGPS) who are proposed for dismissal due to reason of capability due to ill-health then advice will be taken to determine if release of an ill-health retirement pension is possible and at what “tier” within the scheme. Release of a pension under these circumstances will only be authorised by the Council where this decision is supported by advice from an independent Occupational Health Consultant as identified in the LGPS.</w:t>
      </w:r>
    </w:p>
    <w:p w14:paraId="0512A8E3" w14:textId="77777777" w:rsidR="00581587" w:rsidRPr="00581587" w:rsidRDefault="00581587" w:rsidP="00581587">
      <w:pPr>
        <w:widowControl w:val="0"/>
        <w:jc w:val="both"/>
        <w:rPr>
          <w:bCs/>
          <w:snapToGrid w:val="0"/>
          <w:color w:val="000000"/>
        </w:rPr>
      </w:pPr>
    </w:p>
    <w:p w14:paraId="37E5C722" w14:textId="77777777" w:rsidR="00581587" w:rsidRPr="00581587" w:rsidRDefault="00581587" w:rsidP="00581587">
      <w:pPr>
        <w:widowControl w:val="0"/>
        <w:jc w:val="both"/>
        <w:rPr>
          <w:bCs/>
          <w:snapToGrid w:val="0"/>
          <w:color w:val="000000"/>
        </w:rPr>
      </w:pPr>
      <w:r w:rsidRPr="00581587">
        <w:rPr>
          <w:bCs/>
          <w:snapToGrid w:val="0"/>
          <w:color w:val="000000"/>
        </w:rPr>
        <w:t xml:space="preserve">The payments made under the tiers of the LGPS are defined in Regulation. There is no scope for additional discretionary payment for any capability dismissals (including ill-health retirements) to be made other than through the Council’s Industrial Injury Policy. Decisions to dismiss due to reason of capability rest with the Chief Executive or managers delegated to act on their behalf including Directors and </w:t>
      </w:r>
      <w:r w:rsidR="00EA654F">
        <w:rPr>
          <w:bCs/>
          <w:snapToGrid w:val="0"/>
          <w:color w:val="000000"/>
        </w:rPr>
        <w:t>Heads of Service</w:t>
      </w:r>
      <w:r w:rsidRPr="00581587">
        <w:rPr>
          <w:bCs/>
          <w:snapToGrid w:val="0"/>
          <w:color w:val="000000"/>
        </w:rPr>
        <w:t xml:space="preserve">.   </w:t>
      </w:r>
    </w:p>
    <w:p w14:paraId="051545D0" w14:textId="77777777" w:rsidR="00581587" w:rsidRPr="00581587" w:rsidRDefault="00581587" w:rsidP="00581587">
      <w:pPr>
        <w:widowControl w:val="0"/>
        <w:jc w:val="both"/>
        <w:rPr>
          <w:bCs/>
          <w:snapToGrid w:val="0"/>
          <w:color w:val="FF0000"/>
        </w:rPr>
      </w:pPr>
    </w:p>
    <w:p w14:paraId="1C23E39A" w14:textId="77777777" w:rsidR="00581587" w:rsidRPr="00581587" w:rsidRDefault="00581587" w:rsidP="00581587">
      <w:pPr>
        <w:widowControl w:val="0"/>
        <w:jc w:val="both"/>
        <w:rPr>
          <w:bCs/>
          <w:snapToGrid w:val="0"/>
          <w:color w:val="FF0000"/>
        </w:rPr>
      </w:pPr>
    </w:p>
    <w:p w14:paraId="27DF56C6" w14:textId="77777777" w:rsidR="00581587" w:rsidRPr="00581587" w:rsidRDefault="00581587" w:rsidP="00581587">
      <w:pPr>
        <w:spacing w:after="200" w:line="276" w:lineRule="auto"/>
        <w:rPr>
          <w:bCs/>
          <w:snapToGrid w:val="0"/>
          <w:color w:val="FF0000"/>
        </w:rPr>
      </w:pPr>
      <w:r w:rsidRPr="00581587">
        <w:rPr>
          <w:bCs/>
          <w:snapToGrid w:val="0"/>
          <w:color w:val="000000"/>
        </w:rPr>
        <w:t>4.2 Flexible Retirement</w:t>
      </w:r>
    </w:p>
    <w:p w14:paraId="3E10BCE0" w14:textId="77777777" w:rsidR="00581587" w:rsidRPr="00581587" w:rsidRDefault="00581587" w:rsidP="00581587">
      <w:pPr>
        <w:widowControl w:val="0"/>
        <w:jc w:val="both"/>
        <w:rPr>
          <w:bCs/>
          <w:snapToGrid w:val="0"/>
          <w:color w:val="000000"/>
        </w:rPr>
      </w:pPr>
      <w:r w:rsidRPr="00581587">
        <w:rPr>
          <w:bCs/>
          <w:snapToGrid w:val="0"/>
          <w:color w:val="000000"/>
        </w:rPr>
        <w:t>The Local Government Pension Scheme Regulations (LGPS) allows members aged 55 or over, with their employer’s consent, to take their pension following a reduction in grade or hours and opt to receive the immediate payment of their pension benefits whilst still working.  The Council has published its discretion decisions relating to flexible retirement. In essence, a request for flexible retirement made by an employee will be supported if it suits the business need and a financial business case can be supported. For employees aged between 55 and 59 there will always be a cost to the council for flexible retirement (and for some employees aged 60 or over on a case-by-case basis) and this cost will need to be accounted for in any decision made.</w:t>
      </w:r>
    </w:p>
    <w:p w14:paraId="232ABA23" w14:textId="77777777" w:rsidR="00581587" w:rsidRPr="00581587" w:rsidRDefault="00581587" w:rsidP="00581587">
      <w:pPr>
        <w:widowControl w:val="0"/>
        <w:jc w:val="both"/>
        <w:rPr>
          <w:bCs/>
          <w:snapToGrid w:val="0"/>
          <w:color w:val="000000"/>
        </w:rPr>
      </w:pPr>
    </w:p>
    <w:p w14:paraId="3933A59C" w14:textId="77777777" w:rsidR="00581587" w:rsidRPr="00581587" w:rsidRDefault="00581587" w:rsidP="00581587">
      <w:pPr>
        <w:widowControl w:val="0"/>
        <w:jc w:val="both"/>
        <w:rPr>
          <w:bCs/>
          <w:snapToGrid w:val="0"/>
          <w:color w:val="000000"/>
        </w:rPr>
      </w:pPr>
      <w:r w:rsidRPr="00581587">
        <w:rPr>
          <w:bCs/>
          <w:snapToGrid w:val="0"/>
          <w:color w:val="000000"/>
        </w:rPr>
        <w:t>The local Flexible Retirement Policy is shown at Appendix A.</w:t>
      </w:r>
    </w:p>
    <w:p w14:paraId="0D6523CC" w14:textId="77777777" w:rsidR="00581587" w:rsidRPr="00581587" w:rsidRDefault="00581587" w:rsidP="00581587">
      <w:pPr>
        <w:widowControl w:val="0"/>
        <w:jc w:val="both"/>
        <w:rPr>
          <w:bCs/>
          <w:snapToGrid w:val="0"/>
          <w:color w:val="000000"/>
        </w:rPr>
      </w:pPr>
    </w:p>
    <w:p w14:paraId="7C1AFF94" w14:textId="77777777" w:rsidR="00581587" w:rsidRPr="00581587" w:rsidRDefault="00581587" w:rsidP="00581587">
      <w:pPr>
        <w:widowControl w:val="0"/>
        <w:jc w:val="both"/>
        <w:rPr>
          <w:bCs/>
          <w:snapToGrid w:val="0"/>
          <w:color w:val="000000"/>
        </w:rPr>
      </w:pPr>
      <w:r w:rsidRPr="00581587">
        <w:rPr>
          <w:bCs/>
          <w:snapToGrid w:val="0"/>
          <w:color w:val="000000"/>
        </w:rPr>
        <w:t xml:space="preserve">Where an employee makes a request to retire flexibly, they must first gain support for the reduction in working hours or pay grade from their </w:t>
      </w:r>
      <w:r w:rsidR="00EA654F">
        <w:rPr>
          <w:bCs/>
          <w:snapToGrid w:val="0"/>
          <w:color w:val="000000"/>
        </w:rPr>
        <w:t>Head of Service</w:t>
      </w:r>
      <w:r w:rsidRPr="00581587">
        <w:rPr>
          <w:bCs/>
          <w:snapToGrid w:val="0"/>
          <w:color w:val="000000"/>
        </w:rPr>
        <w:t xml:space="preserve">. If there is no pension strain </w:t>
      </w:r>
      <w:proofErr w:type="gramStart"/>
      <w:r w:rsidRPr="00581587">
        <w:rPr>
          <w:bCs/>
          <w:snapToGrid w:val="0"/>
          <w:color w:val="000000"/>
        </w:rPr>
        <w:t>cost</w:t>
      </w:r>
      <w:proofErr w:type="gramEnd"/>
      <w:r w:rsidRPr="00581587">
        <w:rPr>
          <w:bCs/>
          <w:snapToGrid w:val="0"/>
          <w:color w:val="000000"/>
        </w:rPr>
        <w:t xml:space="preserve"> then the decision will rest with the </w:t>
      </w:r>
      <w:r w:rsidR="00EA654F">
        <w:rPr>
          <w:bCs/>
          <w:snapToGrid w:val="0"/>
          <w:color w:val="000000"/>
        </w:rPr>
        <w:t>Head of Service</w:t>
      </w:r>
      <w:r w:rsidRPr="00581587">
        <w:rPr>
          <w:bCs/>
          <w:snapToGrid w:val="0"/>
          <w:color w:val="000000"/>
        </w:rPr>
        <w:t xml:space="preserve">. An employee taking early retirement will normally receive a reduced pension and in this </w:t>
      </w:r>
      <w:proofErr w:type="gramStart"/>
      <w:r w:rsidRPr="00581587">
        <w:rPr>
          <w:bCs/>
          <w:snapToGrid w:val="0"/>
          <w:color w:val="000000"/>
        </w:rPr>
        <w:t>case</w:t>
      </w:r>
      <w:proofErr w:type="gramEnd"/>
      <w:r w:rsidRPr="00581587">
        <w:rPr>
          <w:bCs/>
          <w:snapToGrid w:val="0"/>
          <w:color w:val="000000"/>
        </w:rPr>
        <w:t xml:space="preserve"> there should be no pension strain cost to be met by the employer. In any case where the early release of pension would result in a pension strain cost to the authority, approval for the release of pension will be subject to permission from the Council through the Appeals and Early Retirement Committee.</w:t>
      </w:r>
    </w:p>
    <w:p w14:paraId="32CBD2FE" w14:textId="77777777" w:rsidR="00581587" w:rsidRPr="00581587" w:rsidRDefault="00581587" w:rsidP="00581587">
      <w:pPr>
        <w:widowControl w:val="0"/>
        <w:jc w:val="both"/>
        <w:rPr>
          <w:bCs/>
          <w:snapToGrid w:val="0"/>
          <w:color w:val="000000"/>
        </w:rPr>
      </w:pPr>
    </w:p>
    <w:p w14:paraId="506A286C" w14:textId="77777777" w:rsidR="00581587" w:rsidRPr="00581587" w:rsidRDefault="00581587" w:rsidP="00581587">
      <w:pPr>
        <w:widowControl w:val="0"/>
        <w:jc w:val="both"/>
        <w:rPr>
          <w:bCs/>
          <w:snapToGrid w:val="0"/>
          <w:color w:val="000000"/>
        </w:rPr>
      </w:pPr>
    </w:p>
    <w:p w14:paraId="139DA263" w14:textId="77777777" w:rsidR="00581587" w:rsidRPr="00581587" w:rsidRDefault="00581587" w:rsidP="00581587">
      <w:pPr>
        <w:widowControl w:val="0"/>
        <w:jc w:val="both"/>
        <w:rPr>
          <w:bCs/>
          <w:snapToGrid w:val="0"/>
          <w:color w:val="000000"/>
        </w:rPr>
      </w:pPr>
      <w:r w:rsidRPr="00581587">
        <w:rPr>
          <w:bCs/>
          <w:snapToGrid w:val="0"/>
          <w:color w:val="000000"/>
        </w:rPr>
        <w:t>4.3 Redundancy</w:t>
      </w:r>
    </w:p>
    <w:p w14:paraId="216B59B4" w14:textId="77777777" w:rsidR="00581587" w:rsidRPr="00581587" w:rsidRDefault="00581587" w:rsidP="00581587">
      <w:pPr>
        <w:widowControl w:val="0"/>
        <w:jc w:val="both"/>
        <w:rPr>
          <w:bCs/>
          <w:snapToGrid w:val="0"/>
          <w:color w:val="000000"/>
        </w:rPr>
      </w:pPr>
    </w:p>
    <w:p w14:paraId="2E5D0889" w14:textId="77777777" w:rsidR="00581587" w:rsidRPr="00581587" w:rsidRDefault="00581587" w:rsidP="00581587">
      <w:pPr>
        <w:widowControl w:val="0"/>
        <w:jc w:val="both"/>
        <w:rPr>
          <w:bCs/>
          <w:snapToGrid w:val="0"/>
          <w:color w:val="000000"/>
        </w:rPr>
      </w:pPr>
      <w:r w:rsidRPr="00581587">
        <w:rPr>
          <w:bCs/>
          <w:snapToGrid w:val="0"/>
          <w:color w:val="000000"/>
        </w:rPr>
        <w:t>4.3.1 Definition</w:t>
      </w:r>
    </w:p>
    <w:p w14:paraId="421D47CF" w14:textId="77777777" w:rsidR="00581587" w:rsidRPr="00581587" w:rsidRDefault="00581587" w:rsidP="00581587">
      <w:pPr>
        <w:widowControl w:val="0"/>
        <w:jc w:val="both"/>
        <w:rPr>
          <w:bCs/>
          <w:snapToGrid w:val="0"/>
          <w:color w:val="000000"/>
        </w:rPr>
      </w:pPr>
      <w:r w:rsidRPr="00581587">
        <w:rPr>
          <w:bCs/>
          <w:snapToGrid w:val="0"/>
          <w:color w:val="000000"/>
        </w:rPr>
        <w:t>This is defined within the Employment Rights Act as a dismissal which is attributable wholly or mainly to the fact that:</w:t>
      </w:r>
    </w:p>
    <w:p w14:paraId="7858BA72" w14:textId="77777777" w:rsidR="00581587" w:rsidRPr="00581587" w:rsidRDefault="00581587" w:rsidP="00581587">
      <w:pPr>
        <w:widowControl w:val="0"/>
        <w:jc w:val="both"/>
        <w:rPr>
          <w:bCs/>
          <w:snapToGrid w:val="0"/>
          <w:color w:val="000000"/>
        </w:rPr>
      </w:pPr>
    </w:p>
    <w:p w14:paraId="7EF596FB" w14:textId="77777777" w:rsidR="00581587" w:rsidRPr="00581587" w:rsidRDefault="00581587" w:rsidP="00581587">
      <w:pPr>
        <w:autoSpaceDE w:val="0"/>
        <w:autoSpaceDN w:val="0"/>
        <w:adjustRightInd w:val="0"/>
        <w:ind w:left="426" w:hanging="426"/>
        <w:rPr>
          <w:rFonts w:eastAsia="Calibri" w:cs="Arial"/>
          <w:color w:val="000000"/>
          <w:szCs w:val="24"/>
        </w:rPr>
      </w:pPr>
      <w:r w:rsidRPr="00581587">
        <w:rPr>
          <w:rFonts w:ascii="Symbol" w:eastAsia="Calibri" w:hAnsi="Symbol" w:cs="Symbol"/>
          <w:color w:val="000000"/>
          <w:szCs w:val="24"/>
        </w:rPr>
        <w:t></w:t>
      </w:r>
      <w:r w:rsidRPr="00581587">
        <w:rPr>
          <w:rFonts w:ascii="Symbol" w:eastAsia="Calibri" w:hAnsi="Symbol" w:cs="Symbol"/>
          <w:color w:val="000000"/>
          <w:szCs w:val="24"/>
        </w:rPr>
        <w:t></w:t>
      </w:r>
      <w:r w:rsidRPr="00581587">
        <w:rPr>
          <w:rFonts w:ascii="Symbol" w:eastAsia="Calibri" w:hAnsi="Symbol" w:cs="Symbol"/>
          <w:color w:val="000000"/>
          <w:szCs w:val="24"/>
        </w:rPr>
        <w:t></w:t>
      </w:r>
      <w:r w:rsidRPr="00581587">
        <w:rPr>
          <w:rFonts w:ascii="Symbol" w:eastAsia="Calibri" w:hAnsi="Symbol" w:cs="Symbol"/>
          <w:color w:val="000000"/>
          <w:szCs w:val="24"/>
        </w:rPr>
        <w:t></w:t>
      </w:r>
      <w:r w:rsidRPr="00581587">
        <w:rPr>
          <w:rFonts w:ascii="Symbol" w:eastAsia="Calibri" w:hAnsi="Symbol" w:cs="Symbol"/>
          <w:color w:val="000000"/>
          <w:szCs w:val="24"/>
        </w:rPr>
        <w:t></w:t>
      </w:r>
      <w:r w:rsidRPr="00581587">
        <w:rPr>
          <w:rFonts w:ascii="Symbol" w:eastAsia="Calibri" w:hAnsi="Symbol" w:cs="Symbol"/>
          <w:color w:val="000000"/>
          <w:szCs w:val="24"/>
        </w:rPr>
        <w:t></w:t>
      </w:r>
      <w:r w:rsidRPr="00581587">
        <w:rPr>
          <w:rFonts w:ascii="Symbol" w:eastAsia="Calibri" w:hAnsi="Symbol" w:cs="Symbol"/>
          <w:color w:val="000000"/>
          <w:szCs w:val="24"/>
        </w:rPr>
        <w:t></w:t>
      </w:r>
      <w:r w:rsidRPr="00581587">
        <w:rPr>
          <w:rFonts w:eastAsia="Calibri" w:cs="Arial"/>
          <w:color w:val="000000"/>
          <w:szCs w:val="24"/>
        </w:rPr>
        <w:t>the employer has ceased, or intends to cease, to carry on the business for the purposes of which the employee was employed or has ceased, or intends to cease, to carry on that business in the place where the employee was so employed; or</w:t>
      </w:r>
    </w:p>
    <w:p w14:paraId="2EAE06DB" w14:textId="77777777" w:rsidR="00581587" w:rsidRPr="00581587" w:rsidRDefault="00581587" w:rsidP="00581587">
      <w:pPr>
        <w:autoSpaceDE w:val="0"/>
        <w:autoSpaceDN w:val="0"/>
        <w:adjustRightInd w:val="0"/>
        <w:ind w:left="426" w:hanging="426"/>
        <w:rPr>
          <w:rFonts w:eastAsia="Calibri" w:cs="Arial"/>
          <w:color w:val="000000"/>
          <w:szCs w:val="24"/>
        </w:rPr>
      </w:pPr>
    </w:p>
    <w:p w14:paraId="6549DA25" w14:textId="77777777" w:rsidR="00581587" w:rsidRPr="00581587" w:rsidRDefault="00581587" w:rsidP="00581587">
      <w:pPr>
        <w:autoSpaceDE w:val="0"/>
        <w:autoSpaceDN w:val="0"/>
        <w:adjustRightInd w:val="0"/>
        <w:ind w:left="426" w:hanging="426"/>
        <w:rPr>
          <w:rFonts w:eastAsia="Calibri" w:cs="Arial"/>
          <w:color w:val="000000"/>
          <w:szCs w:val="24"/>
        </w:rPr>
      </w:pPr>
      <w:r w:rsidRPr="00581587">
        <w:rPr>
          <w:rFonts w:ascii="Symbol" w:eastAsia="Calibri" w:hAnsi="Symbol" w:cs="Symbol"/>
          <w:color w:val="000000"/>
          <w:szCs w:val="24"/>
        </w:rPr>
        <w:t></w:t>
      </w:r>
      <w:r w:rsidRPr="00581587">
        <w:rPr>
          <w:rFonts w:ascii="Symbol" w:eastAsia="Calibri" w:hAnsi="Symbol" w:cs="Symbol"/>
          <w:color w:val="000000"/>
          <w:szCs w:val="24"/>
        </w:rPr>
        <w:t></w:t>
      </w:r>
      <w:r w:rsidRPr="00581587">
        <w:rPr>
          <w:rFonts w:ascii="Symbol" w:eastAsia="Calibri" w:hAnsi="Symbol" w:cs="Symbol"/>
          <w:color w:val="000000"/>
          <w:szCs w:val="24"/>
        </w:rPr>
        <w:t></w:t>
      </w:r>
      <w:r w:rsidRPr="00581587">
        <w:rPr>
          <w:rFonts w:ascii="Symbol" w:eastAsia="Calibri" w:hAnsi="Symbol" w:cs="Symbol"/>
          <w:color w:val="000000"/>
          <w:szCs w:val="24"/>
        </w:rPr>
        <w:t></w:t>
      </w:r>
      <w:r w:rsidRPr="00581587">
        <w:rPr>
          <w:rFonts w:ascii="Symbol" w:eastAsia="Calibri" w:hAnsi="Symbol" w:cs="Symbol"/>
          <w:color w:val="000000"/>
          <w:szCs w:val="24"/>
        </w:rPr>
        <w:t></w:t>
      </w:r>
      <w:r w:rsidRPr="00581587">
        <w:rPr>
          <w:rFonts w:ascii="Symbol" w:eastAsia="Calibri" w:hAnsi="Symbol" w:cs="Symbol"/>
          <w:color w:val="000000"/>
          <w:szCs w:val="24"/>
        </w:rPr>
        <w:t></w:t>
      </w:r>
      <w:r w:rsidRPr="00581587">
        <w:rPr>
          <w:rFonts w:eastAsia="Calibri" w:cs="Arial"/>
          <w:color w:val="000000"/>
          <w:szCs w:val="24"/>
        </w:rPr>
        <w:t xml:space="preserve">the requirements of that business for employees to carry out work of a particular kind, or for employees to carry out work of a particular kind in the place where they were so employed, have </w:t>
      </w:r>
      <w:proofErr w:type="gramStart"/>
      <w:r w:rsidRPr="00581587">
        <w:rPr>
          <w:rFonts w:eastAsia="Calibri" w:cs="Arial"/>
          <w:color w:val="000000"/>
          <w:szCs w:val="24"/>
        </w:rPr>
        <w:t>ceased</w:t>
      </w:r>
      <w:proofErr w:type="gramEnd"/>
      <w:r w:rsidRPr="00581587">
        <w:rPr>
          <w:rFonts w:eastAsia="Calibri" w:cs="Arial"/>
          <w:color w:val="000000"/>
          <w:szCs w:val="24"/>
        </w:rPr>
        <w:t xml:space="preserve"> or diminished or are expected to cease or diminish.</w:t>
      </w:r>
    </w:p>
    <w:p w14:paraId="5D42AE6F" w14:textId="77777777" w:rsidR="00581587" w:rsidRPr="00581587" w:rsidRDefault="00581587" w:rsidP="00581587">
      <w:pPr>
        <w:widowControl w:val="0"/>
        <w:jc w:val="both"/>
        <w:rPr>
          <w:bCs/>
          <w:snapToGrid w:val="0"/>
          <w:color w:val="000000"/>
        </w:rPr>
      </w:pPr>
    </w:p>
    <w:p w14:paraId="622AAEDD" w14:textId="77777777" w:rsidR="00581587" w:rsidRPr="00581587" w:rsidRDefault="00581587" w:rsidP="00581587">
      <w:pPr>
        <w:widowControl w:val="0"/>
        <w:jc w:val="both"/>
        <w:rPr>
          <w:bCs/>
          <w:snapToGrid w:val="0"/>
          <w:color w:val="000000"/>
        </w:rPr>
      </w:pPr>
      <w:r w:rsidRPr="00581587">
        <w:rPr>
          <w:bCs/>
          <w:snapToGrid w:val="0"/>
          <w:color w:val="000000"/>
        </w:rPr>
        <w:t>For the purposes of the interpretation of local policy, there is no differentiation between voluntary or compulsory redundancy except where relevant to the facts of the situation.</w:t>
      </w:r>
    </w:p>
    <w:p w14:paraId="1A834C9F" w14:textId="77777777" w:rsidR="00581587" w:rsidRPr="00581587" w:rsidRDefault="00581587" w:rsidP="00581587">
      <w:pPr>
        <w:widowControl w:val="0"/>
        <w:jc w:val="both"/>
        <w:rPr>
          <w:bCs/>
          <w:snapToGrid w:val="0"/>
          <w:color w:val="000000"/>
        </w:rPr>
      </w:pPr>
    </w:p>
    <w:p w14:paraId="3A1F3EA9" w14:textId="77777777" w:rsidR="00581587" w:rsidRPr="00581587" w:rsidRDefault="00581587" w:rsidP="00581587">
      <w:pPr>
        <w:widowControl w:val="0"/>
        <w:jc w:val="both"/>
        <w:rPr>
          <w:bCs/>
          <w:snapToGrid w:val="0"/>
          <w:color w:val="000000"/>
        </w:rPr>
      </w:pPr>
    </w:p>
    <w:p w14:paraId="5BB3BD7F" w14:textId="77777777" w:rsidR="00581587" w:rsidRPr="00581587" w:rsidRDefault="00581587" w:rsidP="00581587">
      <w:pPr>
        <w:widowControl w:val="0"/>
        <w:jc w:val="both"/>
        <w:rPr>
          <w:bCs/>
          <w:snapToGrid w:val="0"/>
          <w:color w:val="000000"/>
        </w:rPr>
      </w:pPr>
      <w:r w:rsidRPr="00581587">
        <w:rPr>
          <w:bCs/>
          <w:snapToGrid w:val="0"/>
          <w:color w:val="000000"/>
        </w:rPr>
        <w:t>4.3.2 General Procedure</w:t>
      </w:r>
    </w:p>
    <w:p w14:paraId="1979A4C1" w14:textId="77777777" w:rsidR="00581587" w:rsidRPr="00581587" w:rsidRDefault="00581587" w:rsidP="00581587">
      <w:pPr>
        <w:widowControl w:val="0"/>
        <w:jc w:val="both"/>
        <w:rPr>
          <w:bCs/>
          <w:snapToGrid w:val="0"/>
          <w:color w:val="000000"/>
        </w:rPr>
      </w:pPr>
      <w:r w:rsidRPr="00581587">
        <w:rPr>
          <w:bCs/>
          <w:snapToGrid w:val="0"/>
          <w:color w:val="000000"/>
        </w:rPr>
        <w:t xml:space="preserve">Where a potential redundancy situation </w:t>
      </w:r>
      <w:proofErr w:type="gramStart"/>
      <w:r w:rsidRPr="00581587">
        <w:rPr>
          <w:bCs/>
          <w:snapToGrid w:val="0"/>
          <w:color w:val="000000"/>
        </w:rPr>
        <w:t>arises</w:t>
      </w:r>
      <w:proofErr w:type="gramEnd"/>
      <w:r w:rsidRPr="00581587">
        <w:rPr>
          <w:bCs/>
          <w:snapToGrid w:val="0"/>
          <w:color w:val="000000"/>
        </w:rPr>
        <w:t xml:space="preserve"> there will be consultation with the Trade Unions and affected employees as required by the Trade Union and Labour Relations (Consolidation) Act.  The periods of time set aside for consultation will meet with legislative requirement as a minimum. Through local convention, for proposals that affect fewer than 20 employees, where possible a consultation period of at least 30 days will also be applied.</w:t>
      </w:r>
    </w:p>
    <w:p w14:paraId="6AB23E00" w14:textId="77777777" w:rsidR="00581587" w:rsidRPr="00581587" w:rsidRDefault="00581587" w:rsidP="00581587">
      <w:pPr>
        <w:widowControl w:val="0"/>
        <w:jc w:val="both"/>
        <w:rPr>
          <w:bCs/>
          <w:snapToGrid w:val="0"/>
          <w:color w:val="000000"/>
        </w:rPr>
      </w:pPr>
    </w:p>
    <w:p w14:paraId="5301878D" w14:textId="77777777" w:rsidR="00581587" w:rsidRPr="00581587" w:rsidRDefault="00581587" w:rsidP="00581587">
      <w:pPr>
        <w:widowControl w:val="0"/>
        <w:jc w:val="both"/>
        <w:rPr>
          <w:bCs/>
          <w:snapToGrid w:val="0"/>
          <w:color w:val="000000"/>
        </w:rPr>
      </w:pPr>
      <w:r w:rsidRPr="00581587">
        <w:rPr>
          <w:bCs/>
          <w:snapToGrid w:val="0"/>
          <w:color w:val="000000"/>
        </w:rPr>
        <w:t xml:space="preserve">The reasons for proposing a redundancy and the business case to support the proposal will be clearly stated and made available during consultation. </w:t>
      </w:r>
    </w:p>
    <w:p w14:paraId="7CBA083B" w14:textId="77777777" w:rsidR="00581587" w:rsidRPr="00581587" w:rsidRDefault="00581587" w:rsidP="00581587">
      <w:pPr>
        <w:widowControl w:val="0"/>
        <w:jc w:val="both"/>
        <w:rPr>
          <w:bCs/>
          <w:snapToGrid w:val="0"/>
          <w:color w:val="000000"/>
        </w:rPr>
      </w:pPr>
    </w:p>
    <w:p w14:paraId="07DAC1BD" w14:textId="77777777" w:rsidR="00581587" w:rsidRPr="00581587" w:rsidRDefault="00581587" w:rsidP="00581587">
      <w:pPr>
        <w:widowControl w:val="0"/>
        <w:jc w:val="both"/>
        <w:rPr>
          <w:bCs/>
          <w:snapToGrid w:val="0"/>
          <w:color w:val="000000"/>
        </w:rPr>
      </w:pPr>
      <w:r w:rsidRPr="00581587">
        <w:rPr>
          <w:bCs/>
          <w:snapToGrid w:val="0"/>
          <w:color w:val="000000"/>
        </w:rPr>
        <w:t>Efforts will be taken to avoid redundancies, whether voluntary or compulsory through the following steps:</w:t>
      </w:r>
    </w:p>
    <w:p w14:paraId="6E471E57" w14:textId="77777777" w:rsidR="00581587" w:rsidRPr="00581587" w:rsidRDefault="00581587" w:rsidP="00581587">
      <w:pPr>
        <w:widowControl w:val="0"/>
        <w:jc w:val="both"/>
        <w:rPr>
          <w:bCs/>
          <w:snapToGrid w:val="0"/>
          <w:color w:val="000000"/>
        </w:rPr>
      </w:pPr>
    </w:p>
    <w:p w14:paraId="3963CFAA" w14:textId="77777777" w:rsidR="00581587" w:rsidRPr="00581587" w:rsidRDefault="00581587" w:rsidP="00581587">
      <w:pPr>
        <w:widowControl w:val="0"/>
        <w:jc w:val="both"/>
        <w:rPr>
          <w:bCs/>
          <w:snapToGrid w:val="0"/>
          <w:color w:val="000000"/>
        </w:rPr>
      </w:pPr>
      <w:r w:rsidRPr="00581587">
        <w:rPr>
          <w:bCs/>
          <w:snapToGrid w:val="0"/>
          <w:color w:val="000000"/>
        </w:rPr>
        <w:t xml:space="preserve">Release any temporary employees with less than two years’ service to provide vacancies for employees at </w:t>
      </w:r>
      <w:proofErr w:type="gramStart"/>
      <w:r w:rsidRPr="00581587">
        <w:rPr>
          <w:bCs/>
          <w:snapToGrid w:val="0"/>
          <w:color w:val="000000"/>
        </w:rPr>
        <w:t>risk</w:t>
      </w:r>
      <w:proofErr w:type="gramEnd"/>
    </w:p>
    <w:p w14:paraId="45228180" w14:textId="77777777" w:rsidR="00581587" w:rsidRPr="00581587" w:rsidRDefault="00581587" w:rsidP="00581587">
      <w:pPr>
        <w:widowControl w:val="0"/>
        <w:jc w:val="both"/>
        <w:rPr>
          <w:bCs/>
          <w:snapToGrid w:val="0"/>
          <w:color w:val="000000"/>
        </w:rPr>
      </w:pPr>
    </w:p>
    <w:p w14:paraId="57CEF60C" w14:textId="77777777" w:rsidR="00581587" w:rsidRPr="00581587" w:rsidRDefault="00581587" w:rsidP="00581587">
      <w:pPr>
        <w:widowControl w:val="0"/>
        <w:jc w:val="both"/>
        <w:rPr>
          <w:bCs/>
          <w:snapToGrid w:val="0"/>
          <w:color w:val="000000"/>
        </w:rPr>
      </w:pPr>
      <w:r w:rsidRPr="00581587">
        <w:rPr>
          <w:bCs/>
          <w:snapToGrid w:val="0"/>
          <w:color w:val="000000"/>
        </w:rPr>
        <w:t xml:space="preserve">Identify other existing vacancies of a similar work type either for deletion to make the necessary saving or for redeployment for employees at </w:t>
      </w:r>
      <w:proofErr w:type="gramStart"/>
      <w:r w:rsidRPr="00581587">
        <w:rPr>
          <w:bCs/>
          <w:snapToGrid w:val="0"/>
          <w:color w:val="000000"/>
        </w:rPr>
        <w:t>risk</w:t>
      </w:r>
      <w:proofErr w:type="gramEnd"/>
    </w:p>
    <w:p w14:paraId="39C20F70" w14:textId="77777777" w:rsidR="00581587" w:rsidRPr="00581587" w:rsidRDefault="00581587" w:rsidP="00581587">
      <w:pPr>
        <w:widowControl w:val="0"/>
        <w:jc w:val="both"/>
        <w:rPr>
          <w:bCs/>
          <w:snapToGrid w:val="0"/>
          <w:color w:val="000000"/>
        </w:rPr>
      </w:pPr>
    </w:p>
    <w:p w14:paraId="64D716CC" w14:textId="77777777" w:rsidR="00581587" w:rsidRPr="00581587" w:rsidRDefault="00581587" w:rsidP="00581587">
      <w:pPr>
        <w:widowControl w:val="0"/>
        <w:jc w:val="both"/>
        <w:rPr>
          <w:bCs/>
          <w:snapToGrid w:val="0"/>
          <w:color w:val="000000"/>
        </w:rPr>
      </w:pPr>
      <w:r w:rsidRPr="00581587">
        <w:rPr>
          <w:bCs/>
          <w:snapToGrid w:val="0"/>
          <w:color w:val="000000"/>
        </w:rPr>
        <w:t xml:space="preserve">When appropriate in the view of the organisation, search for volunteers for redundancy where their release would provide redeployment for an employee at </w:t>
      </w:r>
      <w:proofErr w:type="gramStart"/>
      <w:r w:rsidRPr="00581587">
        <w:rPr>
          <w:bCs/>
          <w:snapToGrid w:val="0"/>
          <w:color w:val="000000"/>
        </w:rPr>
        <w:t>risk</w:t>
      </w:r>
      <w:proofErr w:type="gramEnd"/>
    </w:p>
    <w:p w14:paraId="2A928B85" w14:textId="77777777" w:rsidR="00581587" w:rsidRPr="00581587" w:rsidRDefault="00581587" w:rsidP="00581587">
      <w:pPr>
        <w:widowControl w:val="0"/>
        <w:jc w:val="both"/>
        <w:rPr>
          <w:bCs/>
          <w:snapToGrid w:val="0"/>
          <w:color w:val="000000"/>
        </w:rPr>
      </w:pPr>
    </w:p>
    <w:p w14:paraId="52FF2703" w14:textId="77777777" w:rsidR="00581587" w:rsidRPr="00581587" w:rsidRDefault="00581587" w:rsidP="00581587">
      <w:pPr>
        <w:widowControl w:val="0"/>
        <w:jc w:val="both"/>
        <w:rPr>
          <w:bCs/>
          <w:snapToGrid w:val="0"/>
          <w:color w:val="000000"/>
        </w:rPr>
      </w:pPr>
      <w:r w:rsidRPr="00581587">
        <w:rPr>
          <w:bCs/>
          <w:snapToGrid w:val="0"/>
          <w:color w:val="000000"/>
        </w:rPr>
        <w:t xml:space="preserve">Freeze of relevant vacancies to ensure redeployment opportunities are </w:t>
      </w:r>
      <w:proofErr w:type="gramStart"/>
      <w:r w:rsidRPr="00581587">
        <w:rPr>
          <w:bCs/>
          <w:snapToGrid w:val="0"/>
          <w:color w:val="000000"/>
        </w:rPr>
        <w:t>maximised</w:t>
      </w:r>
      <w:proofErr w:type="gramEnd"/>
      <w:r w:rsidRPr="00581587">
        <w:rPr>
          <w:bCs/>
          <w:snapToGrid w:val="0"/>
          <w:color w:val="000000"/>
        </w:rPr>
        <w:t xml:space="preserve"> </w:t>
      </w:r>
    </w:p>
    <w:p w14:paraId="218872B0" w14:textId="77777777" w:rsidR="00581587" w:rsidRPr="00581587" w:rsidRDefault="00581587" w:rsidP="00581587">
      <w:pPr>
        <w:widowControl w:val="0"/>
        <w:jc w:val="both"/>
        <w:rPr>
          <w:bCs/>
          <w:snapToGrid w:val="0"/>
          <w:color w:val="000000"/>
        </w:rPr>
      </w:pPr>
    </w:p>
    <w:p w14:paraId="0AA48030" w14:textId="77777777" w:rsidR="00581587" w:rsidRPr="00581587" w:rsidRDefault="00581587" w:rsidP="00581587">
      <w:pPr>
        <w:widowControl w:val="0"/>
        <w:jc w:val="both"/>
        <w:rPr>
          <w:bCs/>
          <w:snapToGrid w:val="0"/>
          <w:color w:val="000000"/>
        </w:rPr>
      </w:pPr>
      <w:r w:rsidRPr="00581587">
        <w:rPr>
          <w:bCs/>
          <w:snapToGrid w:val="0"/>
          <w:color w:val="000000"/>
        </w:rPr>
        <w:t xml:space="preserve">Personal counselling and retraining offered to employees at risk to maximise opportunities for </w:t>
      </w:r>
      <w:proofErr w:type="gramStart"/>
      <w:r w:rsidRPr="00581587">
        <w:rPr>
          <w:bCs/>
          <w:snapToGrid w:val="0"/>
          <w:color w:val="000000"/>
        </w:rPr>
        <w:t>redeployment</w:t>
      </w:r>
      <w:proofErr w:type="gramEnd"/>
    </w:p>
    <w:p w14:paraId="63D67865" w14:textId="77777777" w:rsidR="00581587" w:rsidRPr="00581587" w:rsidRDefault="00581587" w:rsidP="00581587">
      <w:pPr>
        <w:widowControl w:val="0"/>
        <w:jc w:val="both"/>
        <w:rPr>
          <w:bCs/>
          <w:snapToGrid w:val="0"/>
          <w:color w:val="000000"/>
        </w:rPr>
      </w:pPr>
      <w:r w:rsidRPr="00581587">
        <w:rPr>
          <w:bCs/>
          <w:snapToGrid w:val="0"/>
          <w:color w:val="000000"/>
        </w:rPr>
        <w:t xml:space="preserve">If it is likely that a process of selection for redundancy is </w:t>
      </w:r>
      <w:proofErr w:type="gramStart"/>
      <w:r w:rsidRPr="00581587">
        <w:rPr>
          <w:bCs/>
          <w:snapToGrid w:val="0"/>
          <w:color w:val="000000"/>
        </w:rPr>
        <w:t>necessary</w:t>
      </w:r>
      <w:proofErr w:type="gramEnd"/>
      <w:r w:rsidRPr="00581587">
        <w:rPr>
          <w:bCs/>
          <w:snapToGrid w:val="0"/>
          <w:color w:val="000000"/>
        </w:rPr>
        <w:t xml:space="preserve"> then a fair and equitable set of criteria will be established.  These will be different depending on the circumstances of the redundancy situation and will be subject to consultation with employees and trade Unions.</w:t>
      </w:r>
    </w:p>
    <w:p w14:paraId="35D5950E" w14:textId="77777777" w:rsidR="00581587" w:rsidRPr="00581587" w:rsidRDefault="00581587" w:rsidP="00581587">
      <w:pPr>
        <w:widowControl w:val="0"/>
        <w:jc w:val="both"/>
        <w:rPr>
          <w:bCs/>
          <w:snapToGrid w:val="0"/>
          <w:color w:val="FF0000"/>
        </w:rPr>
      </w:pPr>
    </w:p>
    <w:p w14:paraId="5DC4162C" w14:textId="77777777" w:rsidR="00581587" w:rsidRPr="00581587" w:rsidRDefault="00581587" w:rsidP="00581587">
      <w:pPr>
        <w:widowControl w:val="0"/>
        <w:jc w:val="both"/>
        <w:rPr>
          <w:bCs/>
          <w:snapToGrid w:val="0"/>
          <w:color w:val="000000"/>
        </w:rPr>
      </w:pPr>
      <w:r w:rsidRPr="00581587">
        <w:rPr>
          <w:bCs/>
          <w:snapToGrid w:val="0"/>
          <w:color w:val="000000"/>
        </w:rPr>
        <w:t xml:space="preserve">4.3.3 Discretionary payments relevant to redundancy </w:t>
      </w:r>
    </w:p>
    <w:p w14:paraId="469378E4" w14:textId="77777777" w:rsidR="00581587" w:rsidRPr="00581587" w:rsidRDefault="00581587" w:rsidP="00581587">
      <w:pPr>
        <w:widowControl w:val="0"/>
        <w:jc w:val="both"/>
        <w:rPr>
          <w:bCs/>
          <w:snapToGrid w:val="0"/>
          <w:color w:val="000000"/>
        </w:rPr>
      </w:pPr>
      <w:r w:rsidRPr="00581587">
        <w:rPr>
          <w:bCs/>
          <w:snapToGrid w:val="0"/>
          <w:color w:val="000000"/>
        </w:rPr>
        <w:t xml:space="preserve">Decisions made under local discretions relevant to pension payment are detailed in the Council’s full set of local discretions that are published on our website. The relevant discretions to redundancy payment are made under the Local Government (Early Termination of </w:t>
      </w:r>
      <w:proofErr w:type="gramStart"/>
      <w:r w:rsidRPr="00581587">
        <w:rPr>
          <w:bCs/>
          <w:snapToGrid w:val="0"/>
          <w:color w:val="000000"/>
        </w:rPr>
        <w:t>Employment)(</w:t>
      </w:r>
      <w:proofErr w:type="gramEnd"/>
      <w:r w:rsidRPr="00581587">
        <w:rPr>
          <w:bCs/>
          <w:snapToGrid w:val="0"/>
          <w:color w:val="000000"/>
        </w:rPr>
        <w:t xml:space="preserve">Discretionary Compensation) (England and Wales) Regulations 2006.  Appendix B sets out how redundancy payments will be made and reflects these discretions.  </w:t>
      </w:r>
    </w:p>
    <w:p w14:paraId="229193AE" w14:textId="77777777" w:rsidR="00581587" w:rsidRPr="00581587" w:rsidRDefault="00581587" w:rsidP="00581587">
      <w:pPr>
        <w:widowControl w:val="0"/>
        <w:jc w:val="both"/>
        <w:rPr>
          <w:bCs/>
          <w:snapToGrid w:val="0"/>
          <w:color w:val="000000"/>
        </w:rPr>
      </w:pPr>
    </w:p>
    <w:p w14:paraId="45DB2D50" w14:textId="77777777" w:rsidR="00581587" w:rsidRPr="00581587" w:rsidRDefault="00581587" w:rsidP="00581587">
      <w:pPr>
        <w:widowControl w:val="0"/>
        <w:jc w:val="both"/>
        <w:rPr>
          <w:bCs/>
          <w:snapToGrid w:val="0"/>
          <w:color w:val="000000"/>
        </w:rPr>
      </w:pPr>
      <w:r w:rsidRPr="00581587">
        <w:rPr>
          <w:bCs/>
          <w:snapToGrid w:val="0"/>
          <w:color w:val="000000"/>
        </w:rPr>
        <w:t xml:space="preserve">In </w:t>
      </w:r>
      <w:proofErr w:type="gramStart"/>
      <w:r w:rsidRPr="00581587">
        <w:rPr>
          <w:bCs/>
          <w:snapToGrid w:val="0"/>
          <w:color w:val="000000"/>
        </w:rPr>
        <w:t>summary;</w:t>
      </w:r>
      <w:proofErr w:type="gramEnd"/>
    </w:p>
    <w:p w14:paraId="04662B43" w14:textId="77777777" w:rsidR="00581587" w:rsidRPr="00581587" w:rsidRDefault="00581587" w:rsidP="00D32888">
      <w:pPr>
        <w:widowControl w:val="0"/>
        <w:numPr>
          <w:ilvl w:val="0"/>
          <w:numId w:val="38"/>
        </w:numPr>
        <w:spacing w:after="200" w:line="276" w:lineRule="auto"/>
        <w:contextualSpacing/>
        <w:jc w:val="both"/>
        <w:rPr>
          <w:bCs/>
          <w:snapToGrid w:val="0"/>
          <w:color w:val="000000"/>
        </w:rPr>
      </w:pPr>
      <w:r w:rsidRPr="00581587">
        <w:rPr>
          <w:bCs/>
          <w:snapToGrid w:val="0"/>
          <w:color w:val="000000"/>
        </w:rPr>
        <w:t xml:space="preserve">The Council has determined that redundancy payments will be calculated on actual week’s pay.  </w:t>
      </w:r>
    </w:p>
    <w:p w14:paraId="5E964A9B" w14:textId="77777777" w:rsidR="00581587" w:rsidRPr="00581587" w:rsidRDefault="00581587" w:rsidP="00D32888">
      <w:pPr>
        <w:widowControl w:val="0"/>
        <w:numPr>
          <w:ilvl w:val="0"/>
          <w:numId w:val="38"/>
        </w:numPr>
        <w:autoSpaceDE w:val="0"/>
        <w:autoSpaceDN w:val="0"/>
        <w:adjustRightInd w:val="0"/>
        <w:spacing w:after="200" w:line="276" w:lineRule="auto"/>
        <w:contextualSpacing/>
        <w:rPr>
          <w:rFonts w:eastAsia="Calibri" w:cs="Arial"/>
          <w:color w:val="000000"/>
          <w:spacing w:val="-5"/>
          <w:szCs w:val="24"/>
        </w:rPr>
      </w:pPr>
      <w:r w:rsidRPr="00581587">
        <w:rPr>
          <w:rFonts w:eastAsia="Calibri" w:cs="Arial"/>
          <w:color w:val="000000"/>
          <w:spacing w:val="-5"/>
          <w:szCs w:val="24"/>
        </w:rPr>
        <w:t xml:space="preserve">A fixed additional local payment will be made for all dismissals due to the reason of redundancy. For redundancy dismissals this will be a compensatory payment equivalent to 30% of the value of the statutory redundancy payment (calculated using actual week’s pay); this to be paid in addition to any required statutory redundancy payment. </w:t>
      </w:r>
    </w:p>
    <w:p w14:paraId="46B90F06" w14:textId="77777777" w:rsidR="00581587" w:rsidRPr="00581587" w:rsidRDefault="00581587" w:rsidP="00581587">
      <w:pPr>
        <w:widowControl w:val="0"/>
        <w:jc w:val="both"/>
        <w:rPr>
          <w:bCs/>
          <w:snapToGrid w:val="0"/>
          <w:color w:val="FF0000"/>
        </w:rPr>
      </w:pPr>
    </w:p>
    <w:p w14:paraId="4482368A" w14:textId="77777777" w:rsidR="00581587" w:rsidRPr="00581587" w:rsidRDefault="00581587" w:rsidP="00581587">
      <w:pPr>
        <w:widowControl w:val="0"/>
        <w:jc w:val="both"/>
        <w:rPr>
          <w:bCs/>
          <w:snapToGrid w:val="0"/>
          <w:color w:val="000000"/>
        </w:rPr>
      </w:pPr>
      <w:r w:rsidRPr="00581587">
        <w:rPr>
          <w:bCs/>
          <w:snapToGrid w:val="0"/>
          <w:color w:val="000000"/>
        </w:rPr>
        <w:t>4.4 Efficiency of the Service</w:t>
      </w:r>
    </w:p>
    <w:p w14:paraId="52733269" w14:textId="77777777" w:rsidR="00581587" w:rsidRPr="00581587" w:rsidRDefault="00581587" w:rsidP="00581587">
      <w:pPr>
        <w:widowControl w:val="0"/>
        <w:jc w:val="both"/>
        <w:rPr>
          <w:bCs/>
          <w:snapToGrid w:val="0"/>
          <w:color w:val="000000"/>
        </w:rPr>
      </w:pPr>
    </w:p>
    <w:p w14:paraId="2861BDAA" w14:textId="77777777" w:rsidR="00581587" w:rsidRPr="00581587" w:rsidRDefault="00581587" w:rsidP="00581587">
      <w:pPr>
        <w:widowControl w:val="0"/>
        <w:jc w:val="both"/>
        <w:rPr>
          <w:rFonts w:cs="Arial"/>
          <w:bCs/>
          <w:snapToGrid w:val="0"/>
          <w:color w:val="000000"/>
        </w:rPr>
      </w:pPr>
      <w:r w:rsidRPr="00581587">
        <w:rPr>
          <w:rFonts w:cs="Arial"/>
          <w:bCs/>
          <w:snapToGrid w:val="0"/>
          <w:color w:val="000000"/>
        </w:rPr>
        <w:t xml:space="preserve">The LGPS recognises as a reason for release of pension, dismissals due to “efficiency of the service”; it is a form of early retirement. In essence a dismissal of this type will arise due to concerns expressed by the employer about the general business efficiency on the part of the employee and may relate to a single or combination of factors. </w:t>
      </w:r>
    </w:p>
    <w:p w14:paraId="48B5DC3A" w14:textId="77777777" w:rsidR="00581587" w:rsidRPr="00581587" w:rsidRDefault="00581587" w:rsidP="00581587">
      <w:pPr>
        <w:widowControl w:val="0"/>
        <w:jc w:val="both"/>
        <w:rPr>
          <w:rFonts w:cs="Arial"/>
          <w:bCs/>
          <w:snapToGrid w:val="0"/>
          <w:color w:val="000000"/>
        </w:rPr>
      </w:pPr>
    </w:p>
    <w:p w14:paraId="03CE8320" w14:textId="77777777" w:rsidR="00581587" w:rsidRPr="00581587" w:rsidRDefault="00581587" w:rsidP="00581587">
      <w:pPr>
        <w:widowControl w:val="0"/>
        <w:jc w:val="both"/>
        <w:rPr>
          <w:bCs/>
          <w:snapToGrid w:val="0"/>
          <w:color w:val="000000"/>
        </w:rPr>
      </w:pPr>
      <w:r w:rsidRPr="00581587">
        <w:rPr>
          <w:rFonts w:cs="Arial"/>
          <w:bCs/>
          <w:snapToGrid w:val="0"/>
          <w:color w:val="000000"/>
        </w:rPr>
        <w:t>Subject to an employee being at least age 55 with appropriate service length then early retirement and release of pension may be granted in cases where there is demonstrable business benefit to the Council (this may be financial or related to improvement in performance or quality of service delivery) arising from the decision.</w:t>
      </w:r>
    </w:p>
    <w:p w14:paraId="2489253D" w14:textId="77777777" w:rsidR="00581587" w:rsidRPr="00581587" w:rsidRDefault="00581587" w:rsidP="00581587">
      <w:pPr>
        <w:widowControl w:val="0"/>
        <w:jc w:val="both"/>
        <w:rPr>
          <w:bCs/>
          <w:snapToGrid w:val="0"/>
          <w:color w:val="000000"/>
        </w:rPr>
      </w:pPr>
    </w:p>
    <w:p w14:paraId="3C665AFE" w14:textId="77777777" w:rsidR="00581587" w:rsidRPr="00581587" w:rsidRDefault="00581587" w:rsidP="00581587">
      <w:pPr>
        <w:widowControl w:val="0"/>
        <w:jc w:val="both"/>
        <w:rPr>
          <w:bCs/>
          <w:snapToGrid w:val="0"/>
          <w:color w:val="000000"/>
        </w:rPr>
      </w:pPr>
      <w:r w:rsidRPr="00581587">
        <w:rPr>
          <w:bCs/>
          <w:snapToGrid w:val="0"/>
          <w:color w:val="000000"/>
        </w:rPr>
        <w:t>The Local Government (Early Termination of Employment) (Discretionary Compensation) (England and Wales) Regulations 2006 do allow for compensatory payments to be made and the Council has exercised its discretion as follows:</w:t>
      </w:r>
    </w:p>
    <w:p w14:paraId="3DBDA734" w14:textId="77777777" w:rsidR="00581587" w:rsidRPr="00581587" w:rsidRDefault="00581587" w:rsidP="00D32888">
      <w:pPr>
        <w:widowControl w:val="0"/>
        <w:numPr>
          <w:ilvl w:val="0"/>
          <w:numId w:val="38"/>
        </w:numPr>
        <w:autoSpaceDE w:val="0"/>
        <w:autoSpaceDN w:val="0"/>
        <w:adjustRightInd w:val="0"/>
        <w:spacing w:after="200" w:line="276" w:lineRule="auto"/>
        <w:contextualSpacing/>
        <w:rPr>
          <w:rFonts w:eastAsia="Calibri" w:cs="Arial"/>
          <w:color w:val="000000"/>
          <w:spacing w:val="-5"/>
          <w:szCs w:val="24"/>
        </w:rPr>
      </w:pPr>
      <w:r w:rsidRPr="00581587">
        <w:rPr>
          <w:rFonts w:eastAsia="Calibri" w:cs="Arial"/>
          <w:color w:val="000000"/>
          <w:spacing w:val="-5"/>
          <w:szCs w:val="24"/>
        </w:rPr>
        <w:t>A fixed local payment will be made for all dismissals due to the reason of efficiency of the service. For dismissals due to efficiency of the service a compensatory payment will be made equivalent to 30% of the value of a notional redundancy payment calculated using actual week’s pay as if the reason for dismissal was redundancy; there is no provision for any statutory payment and no other compensatory payment will be made.</w:t>
      </w:r>
    </w:p>
    <w:p w14:paraId="2FC44311" w14:textId="77777777" w:rsidR="00581587" w:rsidRPr="00581587" w:rsidRDefault="00581587" w:rsidP="00581587">
      <w:pPr>
        <w:widowControl w:val="0"/>
        <w:jc w:val="both"/>
        <w:rPr>
          <w:bCs/>
          <w:snapToGrid w:val="0"/>
          <w:color w:val="000000"/>
        </w:rPr>
      </w:pPr>
    </w:p>
    <w:p w14:paraId="174DC077" w14:textId="77777777" w:rsidR="00A2158F" w:rsidRDefault="00581587" w:rsidP="00581587">
      <w:pPr>
        <w:widowControl w:val="0"/>
        <w:jc w:val="both"/>
        <w:rPr>
          <w:bCs/>
          <w:snapToGrid w:val="0"/>
          <w:color w:val="000000"/>
        </w:rPr>
      </w:pPr>
      <w:r w:rsidRPr="00581587">
        <w:rPr>
          <w:bCs/>
          <w:snapToGrid w:val="0"/>
          <w:color w:val="000000"/>
        </w:rPr>
        <w:t xml:space="preserve">This is detailed in Appendix B. </w:t>
      </w:r>
    </w:p>
    <w:p w14:paraId="1CDD4E2E" w14:textId="77777777" w:rsidR="00581587" w:rsidRPr="00581587" w:rsidRDefault="00581587" w:rsidP="00581587">
      <w:pPr>
        <w:widowControl w:val="0"/>
        <w:jc w:val="both"/>
        <w:rPr>
          <w:bCs/>
          <w:snapToGrid w:val="0"/>
          <w:color w:val="000000"/>
        </w:rPr>
      </w:pPr>
      <w:r w:rsidRPr="00581587">
        <w:rPr>
          <w:bCs/>
          <w:snapToGrid w:val="0"/>
          <w:color w:val="000000"/>
        </w:rPr>
        <w:t xml:space="preserve"> </w:t>
      </w:r>
    </w:p>
    <w:p w14:paraId="710CEFFB" w14:textId="77777777" w:rsidR="00581587" w:rsidRPr="00581587" w:rsidRDefault="00581587" w:rsidP="00581587">
      <w:pPr>
        <w:widowControl w:val="0"/>
        <w:jc w:val="both"/>
        <w:rPr>
          <w:b/>
          <w:snapToGrid w:val="0"/>
          <w:color w:val="000000"/>
          <w:u w:val="single"/>
        </w:rPr>
      </w:pPr>
      <w:r w:rsidRPr="00581587">
        <w:rPr>
          <w:b/>
          <w:snapToGrid w:val="0"/>
          <w:color w:val="000000"/>
        </w:rPr>
        <w:t>5.    Financial Implications</w:t>
      </w:r>
    </w:p>
    <w:p w14:paraId="185F7602" w14:textId="77777777" w:rsidR="00581587" w:rsidRPr="00581587" w:rsidRDefault="00581587" w:rsidP="00581587">
      <w:pPr>
        <w:widowControl w:val="0"/>
        <w:jc w:val="both"/>
        <w:rPr>
          <w:bCs/>
          <w:snapToGrid w:val="0"/>
          <w:color w:val="000000"/>
          <w:u w:val="single"/>
        </w:rPr>
      </w:pPr>
    </w:p>
    <w:p w14:paraId="213EEE17" w14:textId="77777777" w:rsidR="00581587" w:rsidRPr="00581587" w:rsidRDefault="00581587" w:rsidP="00581587">
      <w:pPr>
        <w:widowControl w:val="0"/>
        <w:jc w:val="both"/>
        <w:rPr>
          <w:bCs/>
          <w:snapToGrid w:val="0"/>
          <w:color w:val="000000"/>
        </w:rPr>
      </w:pPr>
      <w:r w:rsidRPr="00581587">
        <w:rPr>
          <w:bCs/>
          <w:snapToGrid w:val="0"/>
          <w:color w:val="000000"/>
        </w:rPr>
        <w:t>Employing departments are required to identify how the costs of redundancy or early retirement (other than ill-health) will be met as part of any proposals for organisational change.</w:t>
      </w:r>
    </w:p>
    <w:p w14:paraId="0640A726" w14:textId="77777777" w:rsidR="00581587" w:rsidRPr="00581587" w:rsidRDefault="00581587" w:rsidP="00581587">
      <w:pPr>
        <w:widowControl w:val="0"/>
        <w:jc w:val="both"/>
        <w:rPr>
          <w:bCs/>
          <w:snapToGrid w:val="0"/>
          <w:color w:val="000000"/>
        </w:rPr>
      </w:pPr>
    </w:p>
    <w:p w14:paraId="79591885" w14:textId="77777777" w:rsidR="00581587" w:rsidRPr="00581587" w:rsidRDefault="00581587" w:rsidP="00581587">
      <w:pPr>
        <w:widowControl w:val="0"/>
        <w:jc w:val="both"/>
        <w:rPr>
          <w:bCs/>
          <w:snapToGrid w:val="0"/>
          <w:color w:val="000000"/>
        </w:rPr>
      </w:pPr>
      <w:r w:rsidRPr="00581587">
        <w:rPr>
          <w:bCs/>
          <w:snapToGrid w:val="0"/>
          <w:color w:val="000000"/>
        </w:rPr>
        <w:t>5.1 For ill health retirements, this will not be necessary. Such dismissals will be based on personal circumstances of the employee and not on the organisational need. Costs of ill-health retirement will be met through shared corporate costs that are applied by the Pension Administering Authority (Nottinghamshire County Council) following a triennial actuarial revaluation of pension scheme costs.</w:t>
      </w:r>
    </w:p>
    <w:p w14:paraId="6A0E9D9A" w14:textId="77777777" w:rsidR="00581587" w:rsidRPr="00581587" w:rsidRDefault="00581587" w:rsidP="00581587">
      <w:pPr>
        <w:widowControl w:val="0"/>
        <w:jc w:val="both"/>
        <w:rPr>
          <w:bCs/>
          <w:snapToGrid w:val="0"/>
          <w:color w:val="000000"/>
        </w:rPr>
      </w:pPr>
    </w:p>
    <w:p w14:paraId="4DC0FD61" w14:textId="77777777" w:rsidR="00581587" w:rsidRPr="00581587" w:rsidRDefault="00581587" w:rsidP="00581587">
      <w:pPr>
        <w:widowControl w:val="0"/>
        <w:jc w:val="both"/>
        <w:rPr>
          <w:bCs/>
          <w:snapToGrid w:val="0"/>
          <w:color w:val="000000"/>
        </w:rPr>
      </w:pPr>
      <w:r w:rsidRPr="00581587">
        <w:rPr>
          <w:bCs/>
          <w:snapToGrid w:val="0"/>
          <w:color w:val="000000"/>
        </w:rPr>
        <w:t xml:space="preserve">5.2 For early retirement cases proposed on grounds of efficiency of the service the </w:t>
      </w:r>
      <w:r w:rsidR="00EA654F">
        <w:rPr>
          <w:bCs/>
          <w:snapToGrid w:val="0"/>
          <w:color w:val="000000"/>
        </w:rPr>
        <w:t>Head of Service</w:t>
      </w:r>
      <w:r w:rsidRPr="00581587">
        <w:rPr>
          <w:bCs/>
          <w:snapToGrid w:val="0"/>
          <w:color w:val="000000"/>
        </w:rPr>
        <w:t xml:space="preserve"> will need to identify how any pension strain costs arising from a decision can be met together with the costs arising from local discretionary payments. Subject to budgetary provision existing, authority to dismiss for this reason where there are no pension strain costs lies with the relevant </w:t>
      </w:r>
      <w:r w:rsidR="00EA654F">
        <w:rPr>
          <w:bCs/>
          <w:snapToGrid w:val="0"/>
          <w:color w:val="000000"/>
        </w:rPr>
        <w:t>Head of Service</w:t>
      </w:r>
      <w:r w:rsidRPr="00581587">
        <w:rPr>
          <w:bCs/>
          <w:snapToGrid w:val="0"/>
          <w:color w:val="000000"/>
        </w:rPr>
        <w:t xml:space="preserve">. Where pension strain costs will be payable by the Council then authority to implement the decision will rest with Senior Leadership Team. It may not be necessary for savings to be fully identified </w:t>
      </w:r>
      <w:proofErr w:type="gramStart"/>
      <w:r w:rsidRPr="00581587">
        <w:rPr>
          <w:bCs/>
          <w:snapToGrid w:val="0"/>
          <w:color w:val="000000"/>
        </w:rPr>
        <w:t>in order for</w:t>
      </w:r>
      <w:proofErr w:type="gramEnd"/>
      <w:r w:rsidRPr="00581587">
        <w:rPr>
          <w:bCs/>
          <w:snapToGrid w:val="0"/>
          <w:color w:val="000000"/>
        </w:rPr>
        <w:t xml:space="preserve"> authority to be given; an overall business case will be considered and benefits to the Council assessed by Senior Leadership Team.</w:t>
      </w:r>
    </w:p>
    <w:p w14:paraId="7FC5434F" w14:textId="77777777" w:rsidR="00581587" w:rsidRPr="00581587" w:rsidRDefault="00581587" w:rsidP="00581587">
      <w:pPr>
        <w:widowControl w:val="0"/>
        <w:jc w:val="both"/>
        <w:rPr>
          <w:bCs/>
          <w:snapToGrid w:val="0"/>
          <w:color w:val="000000"/>
        </w:rPr>
      </w:pPr>
    </w:p>
    <w:p w14:paraId="4DB41C11" w14:textId="77777777" w:rsidR="00581587" w:rsidRPr="00581587" w:rsidRDefault="00581587" w:rsidP="00581587">
      <w:pPr>
        <w:widowControl w:val="0"/>
        <w:jc w:val="both"/>
        <w:rPr>
          <w:bCs/>
          <w:snapToGrid w:val="0"/>
          <w:color w:val="000000"/>
        </w:rPr>
      </w:pPr>
      <w:r w:rsidRPr="00581587">
        <w:rPr>
          <w:bCs/>
          <w:snapToGrid w:val="0"/>
          <w:color w:val="000000"/>
        </w:rPr>
        <w:t xml:space="preserve">5.3 For proposed redundancy (including early retirement cases) the </w:t>
      </w:r>
      <w:r w:rsidR="00EA654F">
        <w:rPr>
          <w:bCs/>
          <w:snapToGrid w:val="0"/>
          <w:color w:val="000000"/>
        </w:rPr>
        <w:t>Head of Service</w:t>
      </w:r>
      <w:r w:rsidRPr="00581587">
        <w:rPr>
          <w:bCs/>
          <w:snapToGrid w:val="0"/>
          <w:color w:val="000000"/>
        </w:rPr>
        <w:t xml:space="preserve"> will need to identify how any redundancy (statutory and local costs) and pension strain costs arising from a decision can be met. Statutory and local redundancy payments will be made. As redundancy will arise from structural change then a fully costed proposal will be considered by Senior Leadership Team.</w:t>
      </w:r>
    </w:p>
    <w:p w14:paraId="11A5A773" w14:textId="77777777" w:rsidR="00581587" w:rsidRPr="00581587" w:rsidRDefault="00581587" w:rsidP="00581587">
      <w:pPr>
        <w:widowControl w:val="0"/>
        <w:jc w:val="both"/>
        <w:rPr>
          <w:bCs/>
          <w:snapToGrid w:val="0"/>
          <w:color w:val="000000"/>
        </w:rPr>
      </w:pPr>
      <w:r w:rsidRPr="00581587">
        <w:rPr>
          <w:bCs/>
          <w:snapToGrid w:val="0"/>
          <w:color w:val="000000"/>
        </w:rPr>
        <w:t xml:space="preserve">  </w:t>
      </w:r>
    </w:p>
    <w:p w14:paraId="1B159024" w14:textId="77777777" w:rsidR="00581587" w:rsidRPr="00581587" w:rsidRDefault="00581587" w:rsidP="00581587">
      <w:pPr>
        <w:widowControl w:val="0"/>
        <w:jc w:val="both"/>
        <w:rPr>
          <w:bCs/>
          <w:snapToGrid w:val="0"/>
          <w:color w:val="000000"/>
        </w:rPr>
      </w:pPr>
      <w:r w:rsidRPr="00581587">
        <w:rPr>
          <w:bCs/>
          <w:snapToGrid w:val="0"/>
          <w:color w:val="000000"/>
        </w:rPr>
        <w:t xml:space="preserve">5.4 In cases where early release of pension is requested through flexible retirement, a decision will be made </w:t>
      </w:r>
      <w:proofErr w:type="gramStart"/>
      <w:r w:rsidRPr="00581587">
        <w:rPr>
          <w:bCs/>
          <w:snapToGrid w:val="0"/>
          <w:color w:val="000000"/>
        </w:rPr>
        <w:t>taking into account</w:t>
      </w:r>
      <w:proofErr w:type="gramEnd"/>
      <w:r w:rsidRPr="00581587">
        <w:rPr>
          <w:bCs/>
          <w:snapToGrid w:val="0"/>
          <w:color w:val="000000"/>
        </w:rPr>
        <w:t xml:space="preserve"> both the financial business case and issues of service improvement. The process for decision-making is detailed in section 4.2. </w:t>
      </w:r>
    </w:p>
    <w:p w14:paraId="254772BF" w14:textId="77777777" w:rsidR="00581587" w:rsidRPr="00581587" w:rsidRDefault="00581587" w:rsidP="00581587">
      <w:pPr>
        <w:widowControl w:val="0"/>
        <w:jc w:val="both"/>
        <w:rPr>
          <w:bCs/>
          <w:snapToGrid w:val="0"/>
          <w:color w:val="000000"/>
        </w:rPr>
      </w:pPr>
    </w:p>
    <w:p w14:paraId="4109CFAB" w14:textId="77777777" w:rsidR="00581587" w:rsidRDefault="00581587" w:rsidP="00581587">
      <w:pPr>
        <w:widowControl w:val="0"/>
        <w:jc w:val="right"/>
        <w:rPr>
          <w:rFonts w:cs="Arial"/>
          <w:bCs/>
          <w:szCs w:val="24"/>
        </w:rPr>
      </w:pPr>
      <w:r w:rsidRPr="00581587">
        <w:rPr>
          <w:bCs/>
          <w:snapToGrid w:val="0"/>
          <w:color w:val="000000"/>
        </w:rPr>
        <w:br w:type="page"/>
      </w:r>
      <w:r>
        <w:rPr>
          <w:b/>
          <w:snapToGrid w:val="0"/>
          <w:color w:val="000000"/>
        </w:rPr>
        <w:t xml:space="preserve"> </w:t>
      </w:r>
      <w:r w:rsidRPr="00403A91">
        <w:rPr>
          <w:rFonts w:cs="Arial"/>
          <w:bCs/>
          <w:szCs w:val="24"/>
        </w:rPr>
        <w:t>Appendix viii) a)</w:t>
      </w:r>
    </w:p>
    <w:p w14:paraId="3070BB7F" w14:textId="77777777" w:rsidR="00652CF1" w:rsidRPr="00581587" w:rsidRDefault="00652CF1" w:rsidP="00581587">
      <w:pPr>
        <w:widowControl w:val="0"/>
        <w:jc w:val="right"/>
        <w:rPr>
          <w:b/>
          <w:snapToGrid w:val="0"/>
          <w:color w:val="000000"/>
        </w:rPr>
      </w:pPr>
      <w:r w:rsidRPr="00581587">
        <w:rPr>
          <w:b/>
          <w:snapToGrid w:val="0"/>
          <w:color w:val="000000"/>
        </w:rPr>
        <w:t>Appendix A</w:t>
      </w:r>
    </w:p>
    <w:p w14:paraId="6FD5D1F2" w14:textId="77777777" w:rsidR="00581587" w:rsidRPr="00581587" w:rsidRDefault="00581587" w:rsidP="00581587">
      <w:pPr>
        <w:widowControl w:val="0"/>
        <w:jc w:val="both"/>
        <w:rPr>
          <w:bCs/>
          <w:snapToGrid w:val="0"/>
          <w:color w:val="000000"/>
        </w:rPr>
      </w:pPr>
    </w:p>
    <w:p w14:paraId="78E436CF" w14:textId="77777777" w:rsidR="00581587" w:rsidRPr="00581587" w:rsidRDefault="00581587" w:rsidP="00581587">
      <w:pPr>
        <w:widowControl w:val="0"/>
        <w:jc w:val="center"/>
        <w:rPr>
          <w:b/>
          <w:caps/>
          <w:snapToGrid w:val="0"/>
          <w:color w:val="000000"/>
        </w:rPr>
      </w:pPr>
      <w:r w:rsidRPr="00581587">
        <w:rPr>
          <w:b/>
          <w:caps/>
          <w:snapToGrid w:val="0"/>
          <w:color w:val="000000"/>
        </w:rPr>
        <w:t>Flexible Retirement POLICY</w:t>
      </w:r>
    </w:p>
    <w:p w14:paraId="661793D0" w14:textId="77777777" w:rsidR="00581587" w:rsidRPr="00581587" w:rsidRDefault="00581587" w:rsidP="00581587">
      <w:pPr>
        <w:widowControl w:val="0"/>
        <w:jc w:val="both"/>
        <w:rPr>
          <w:bCs/>
          <w:snapToGrid w:val="0"/>
          <w:color w:val="000000"/>
        </w:rPr>
      </w:pPr>
    </w:p>
    <w:p w14:paraId="318E9311" w14:textId="77777777" w:rsidR="00581587" w:rsidRPr="00581587" w:rsidRDefault="00581587" w:rsidP="00581587">
      <w:pPr>
        <w:widowControl w:val="0"/>
        <w:jc w:val="both"/>
        <w:rPr>
          <w:b/>
          <w:snapToGrid w:val="0"/>
          <w:color w:val="000000"/>
        </w:rPr>
      </w:pPr>
      <w:r w:rsidRPr="00581587">
        <w:rPr>
          <w:b/>
          <w:snapToGrid w:val="0"/>
          <w:color w:val="000000"/>
        </w:rPr>
        <w:t>1.</w:t>
      </w:r>
      <w:r w:rsidRPr="00581587">
        <w:rPr>
          <w:b/>
          <w:snapToGrid w:val="0"/>
          <w:color w:val="000000"/>
        </w:rPr>
        <w:tab/>
        <w:t xml:space="preserve">The Scheme </w:t>
      </w:r>
    </w:p>
    <w:p w14:paraId="45ACBA5C" w14:textId="77777777" w:rsidR="00581587" w:rsidRPr="00581587" w:rsidRDefault="00581587" w:rsidP="00581587">
      <w:pPr>
        <w:widowControl w:val="0"/>
        <w:jc w:val="both"/>
        <w:rPr>
          <w:rFonts w:cs="Arial"/>
          <w:bCs/>
          <w:snapToGrid w:val="0"/>
          <w:color w:val="000000"/>
        </w:rPr>
      </w:pPr>
    </w:p>
    <w:p w14:paraId="0E762455" w14:textId="77777777" w:rsidR="00581587" w:rsidRPr="00581587" w:rsidRDefault="00581587" w:rsidP="00581587">
      <w:pPr>
        <w:widowControl w:val="0"/>
        <w:jc w:val="both"/>
        <w:rPr>
          <w:bCs/>
          <w:snapToGrid w:val="0"/>
          <w:color w:val="000000"/>
        </w:rPr>
      </w:pPr>
      <w:r w:rsidRPr="00581587">
        <w:rPr>
          <w:bCs/>
          <w:snapToGrid w:val="0"/>
          <w:color w:val="000000"/>
        </w:rPr>
        <w:t xml:space="preserve">Employees aged 55 or over </w:t>
      </w:r>
      <w:proofErr w:type="gramStart"/>
      <w:r w:rsidRPr="00581587">
        <w:rPr>
          <w:bCs/>
          <w:snapToGrid w:val="0"/>
          <w:color w:val="000000"/>
        </w:rPr>
        <w:t>are able to</w:t>
      </w:r>
      <w:proofErr w:type="gramEnd"/>
      <w:r w:rsidRPr="00581587">
        <w:rPr>
          <w:bCs/>
          <w:snapToGrid w:val="0"/>
          <w:color w:val="000000"/>
        </w:rPr>
        <w:t xml:space="preserve"> draw their pension benefits whist continuing in employment on reduced hours or on a reduced grade with the consent of the Council. This is known as ‘flexible retirement’.  </w:t>
      </w:r>
    </w:p>
    <w:p w14:paraId="655C7A3D" w14:textId="77777777" w:rsidR="00581587" w:rsidRPr="00581587" w:rsidRDefault="00581587" w:rsidP="00581587">
      <w:pPr>
        <w:widowControl w:val="0"/>
        <w:jc w:val="both"/>
        <w:rPr>
          <w:bCs/>
          <w:snapToGrid w:val="0"/>
          <w:color w:val="000000"/>
        </w:rPr>
      </w:pPr>
    </w:p>
    <w:p w14:paraId="27CA5A31" w14:textId="77777777" w:rsidR="00581587" w:rsidRPr="00581587" w:rsidRDefault="00581587" w:rsidP="00581587">
      <w:pPr>
        <w:widowControl w:val="0"/>
        <w:jc w:val="both"/>
        <w:rPr>
          <w:bCs/>
          <w:snapToGrid w:val="0"/>
          <w:color w:val="000000"/>
        </w:rPr>
      </w:pPr>
      <w:r w:rsidRPr="00581587">
        <w:rPr>
          <w:bCs/>
          <w:snapToGrid w:val="0"/>
          <w:color w:val="000000"/>
        </w:rPr>
        <w:t>Employees whose request for flexible retirement is supported may continue to pay into the Local Government Pension Scheme to build up further benefits in the Scheme up to the age of 75.</w:t>
      </w:r>
    </w:p>
    <w:p w14:paraId="18F2D016" w14:textId="77777777" w:rsidR="00581587" w:rsidRPr="00581587" w:rsidRDefault="00581587" w:rsidP="00581587">
      <w:pPr>
        <w:widowControl w:val="0"/>
        <w:jc w:val="both"/>
        <w:rPr>
          <w:bCs/>
          <w:snapToGrid w:val="0"/>
          <w:color w:val="000000"/>
        </w:rPr>
      </w:pPr>
    </w:p>
    <w:p w14:paraId="36259E01" w14:textId="77777777" w:rsidR="00581587" w:rsidRPr="00581587" w:rsidRDefault="00581587" w:rsidP="00581587">
      <w:pPr>
        <w:widowControl w:val="0"/>
        <w:jc w:val="both"/>
        <w:rPr>
          <w:bCs/>
          <w:snapToGrid w:val="0"/>
          <w:color w:val="000000"/>
        </w:rPr>
      </w:pPr>
      <w:r w:rsidRPr="00581587">
        <w:rPr>
          <w:bCs/>
          <w:snapToGrid w:val="0"/>
          <w:color w:val="000000"/>
        </w:rPr>
        <w:t>Employees age 55 or over with long service will not normally incur a cost for the Council if they retire on a flexible basis as there will be no strain cost (usually the pension to be drawn is reduced at the employee’s cost, not the council’s</w:t>
      </w:r>
      <w:proofErr w:type="gramStart"/>
      <w:r w:rsidRPr="00581587">
        <w:rPr>
          <w:bCs/>
          <w:snapToGrid w:val="0"/>
          <w:color w:val="000000"/>
        </w:rPr>
        <w:t>) .</w:t>
      </w:r>
      <w:proofErr w:type="gramEnd"/>
      <w:r w:rsidRPr="00581587">
        <w:rPr>
          <w:bCs/>
          <w:snapToGrid w:val="0"/>
          <w:color w:val="000000"/>
        </w:rPr>
        <w:t xml:space="preserve"> In these </w:t>
      </w:r>
      <w:proofErr w:type="gramStart"/>
      <w:r w:rsidRPr="00581587">
        <w:rPr>
          <w:bCs/>
          <w:snapToGrid w:val="0"/>
          <w:color w:val="000000"/>
        </w:rPr>
        <w:t>cases</w:t>
      </w:r>
      <w:proofErr w:type="gramEnd"/>
      <w:r w:rsidRPr="00581587">
        <w:rPr>
          <w:bCs/>
          <w:snapToGrid w:val="0"/>
          <w:color w:val="000000"/>
        </w:rPr>
        <w:t xml:space="preserve"> the granting of a request for flexible retirement will be taken by the relevant </w:t>
      </w:r>
      <w:r w:rsidR="00EA654F">
        <w:rPr>
          <w:bCs/>
          <w:snapToGrid w:val="0"/>
          <w:color w:val="000000"/>
        </w:rPr>
        <w:t>Head of Service</w:t>
      </w:r>
      <w:r w:rsidRPr="00581587">
        <w:rPr>
          <w:bCs/>
          <w:snapToGrid w:val="0"/>
          <w:color w:val="000000"/>
        </w:rPr>
        <w:t xml:space="preserve"> and will be based on the operational effectiveness of the proposed arrangement. In effect, in these cases the arrangement is merely an agreed contractual change (reduction in hours or grade</w:t>
      </w:r>
      <w:proofErr w:type="gramStart"/>
      <w:r w:rsidRPr="00581587">
        <w:rPr>
          <w:bCs/>
          <w:snapToGrid w:val="0"/>
          <w:color w:val="000000"/>
        </w:rPr>
        <w:t>)</w:t>
      </w:r>
      <w:proofErr w:type="gramEnd"/>
      <w:r w:rsidRPr="00581587">
        <w:rPr>
          <w:bCs/>
          <w:snapToGrid w:val="0"/>
          <w:color w:val="000000"/>
        </w:rPr>
        <w:t xml:space="preserve"> and the claiming of the pension is a matter for the employee not the Council as employer. The Council through its published suite of discretions available under the Local Government Pension Scheme Regulations has determined that decisions where a pension strain cost would be payable by the Council would need to be referred to the Appeals and Retirements Committee and would be dependent on a costed business </w:t>
      </w:r>
      <w:proofErr w:type="gramStart"/>
      <w:r w:rsidRPr="00581587">
        <w:rPr>
          <w:bCs/>
          <w:snapToGrid w:val="0"/>
          <w:color w:val="000000"/>
        </w:rPr>
        <w:t>case</w:t>
      </w:r>
      <w:proofErr w:type="gramEnd"/>
    </w:p>
    <w:p w14:paraId="5C2B672D" w14:textId="77777777" w:rsidR="00581587" w:rsidRPr="00581587" w:rsidRDefault="00581587" w:rsidP="00581587">
      <w:pPr>
        <w:widowControl w:val="0"/>
        <w:jc w:val="both"/>
        <w:rPr>
          <w:bCs/>
          <w:snapToGrid w:val="0"/>
          <w:color w:val="000000"/>
        </w:rPr>
      </w:pPr>
    </w:p>
    <w:p w14:paraId="082208E3" w14:textId="77777777" w:rsidR="00581587" w:rsidRPr="00581587" w:rsidRDefault="00581587" w:rsidP="00581587">
      <w:pPr>
        <w:widowControl w:val="0"/>
        <w:jc w:val="both"/>
        <w:rPr>
          <w:bCs/>
          <w:snapToGrid w:val="0"/>
          <w:color w:val="000000"/>
        </w:rPr>
      </w:pPr>
      <w:r w:rsidRPr="00581587">
        <w:rPr>
          <w:bCs/>
          <w:snapToGrid w:val="0"/>
          <w:color w:val="000000"/>
        </w:rPr>
        <w:t>When a request for flexible retirement is received, managers must consult with Personnel Services before any decision is communicated to the employee.  Personnel Services will advise on process and obtain confirmation from the Pension Administering Authority (Nottinghamshire County Council) of any potential strain costs.</w:t>
      </w:r>
    </w:p>
    <w:p w14:paraId="1CBB9048" w14:textId="77777777" w:rsidR="00581587" w:rsidRPr="00581587" w:rsidRDefault="00581587" w:rsidP="00581587">
      <w:pPr>
        <w:widowControl w:val="0"/>
        <w:jc w:val="both"/>
        <w:rPr>
          <w:bCs/>
          <w:snapToGrid w:val="0"/>
          <w:color w:val="000000"/>
        </w:rPr>
      </w:pPr>
    </w:p>
    <w:p w14:paraId="629AED40" w14:textId="77777777" w:rsidR="00581587" w:rsidRPr="00581587" w:rsidRDefault="00581587" w:rsidP="00581587">
      <w:pPr>
        <w:widowControl w:val="0"/>
        <w:jc w:val="both"/>
        <w:rPr>
          <w:bCs/>
          <w:snapToGrid w:val="0"/>
          <w:color w:val="000000"/>
        </w:rPr>
      </w:pPr>
      <w:r w:rsidRPr="00581587">
        <w:rPr>
          <w:bCs/>
          <w:snapToGrid w:val="0"/>
          <w:color w:val="000000"/>
        </w:rPr>
        <w:t>Where an employee voluntarily reduces their hours with pension, a trial period is not possible and therefore the change will form a permanent variation to their contract of employment.</w:t>
      </w:r>
    </w:p>
    <w:p w14:paraId="6C8C9AF2" w14:textId="77777777" w:rsidR="00581587" w:rsidRPr="00581587" w:rsidRDefault="00581587" w:rsidP="00581587">
      <w:pPr>
        <w:widowControl w:val="0"/>
        <w:jc w:val="both"/>
        <w:rPr>
          <w:bCs/>
          <w:snapToGrid w:val="0"/>
          <w:color w:val="000000"/>
        </w:rPr>
      </w:pPr>
    </w:p>
    <w:p w14:paraId="692128ED" w14:textId="77777777" w:rsidR="00581587" w:rsidRPr="00581587" w:rsidRDefault="00581587" w:rsidP="00581587">
      <w:pPr>
        <w:widowControl w:val="0"/>
        <w:jc w:val="both"/>
        <w:rPr>
          <w:bCs/>
          <w:snapToGrid w:val="0"/>
          <w:color w:val="000000"/>
        </w:rPr>
      </w:pPr>
      <w:r w:rsidRPr="00581587">
        <w:rPr>
          <w:bCs/>
          <w:snapToGrid w:val="0"/>
          <w:color w:val="000000"/>
        </w:rPr>
        <w:t xml:space="preserve">An alternative option to reduction in hours with pension is reduction in grade with pension.  If an employee wishes to draw their pension linked to a reduction in their grade this will be subject to an appropriate review to consider the business case for agreeing to the arrangement in the same way as if the request had been made for a reduction in hours. There is no automatic right to be transferred into a lower-graded post, or for the duties within an existing post to be reduced or diminished, and an employee wishing to take this option will normally be expected to apply for the post in the normal manner and demonstrate competency through an ‘on merit’ process.  </w:t>
      </w:r>
    </w:p>
    <w:p w14:paraId="382C0568" w14:textId="77777777" w:rsidR="00581587" w:rsidRPr="00581587" w:rsidRDefault="00581587" w:rsidP="00581587">
      <w:pPr>
        <w:widowControl w:val="0"/>
        <w:jc w:val="both"/>
        <w:rPr>
          <w:bCs/>
          <w:snapToGrid w:val="0"/>
          <w:color w:val="000000"/>
        </w:rPr>
      </w:pPr>
      <w:r w:rsidRPr="00581587">
        <w:rPr>
          <w:bCs/>
          <w:snapToGrid w:val="0"/>
          <w:color w:val="000000"/>
        </w:rPr>
        <w:br w:type="page"/>
      </w:r>
    </w:p>
    <w:p w14:paraId="0BD8438C" w14:textId="77777777" w:rsidR="00581587" w:rsidRPr="00581587" w:rsidRDefault="00581587" w:rsidP="00581587">
      <w:pPr>
        <w:widowControl w:val="0"/>
        <w:jc w:val="both"/>
        <w:rPr>
          <w:b/>
          <w:snapToGrid w:val="0"/>
          <w:color w:val="000000"/>
        </w:rPr>
      </w:pPr>
      <w:r w:rsidRPr="00581587">
        <w:rPr>
          <w:b/>
          <w:snapToGrid w:val="0"/>
          <w:color w:val="000000"/>
        </w:rPr>
        <w:t xml:space="preserve">2. </w:t>
      </w:r>
      <w:r w:rsidRPr="00581587">
        <w:rPr>
          <w:b/>
          <w:snapToGrid w:val="0"/>
          <w:color w:val="000000"/>
        </w:rPr>
        <w:tab/>
        <w:t>Appeal</w:t>
      </w:r>
    </w:p>
    <w:p w14:paraId="02A40065" w14:textId="77777777" w:rsidR="00581587" w:rsidRPr="00581587" w:rsidRDefault="00581587" w:rsidP="00581587">
      <w:pPr>
        <w:widowControl w:val="0"/>
        <w:jc w:val="both"/>
        <w:rPr>
          <w:bCs/>
          <w:snapToGrid w:val="0"/>
          <w:color w:val="000000"/>
        </w:rPr>
      </w:pPr>
    </w:p>
    <w:p w14:paraId="68AFCE73" w14:textId="77777777" w:rsidR="00581587" w:rsidRPr="00581587" w:rsidRDefault="00581587" w:rsidP="00581587">
      <w:pPr>
        <w:widowControl w:val="0"/>
        <w:jc w:val="both"/>
        <w:rPr>
          <w:bCs/>
          <w:snapToGrid w:val="0"/>
          <w:color w:val="000000"/>
        </w:rPr>
      </w:pPr>
      <w:r w:rsidRPr="00581587">
        <w:rPr>
          <w:b/>
          <w:bCs/>
          <w:snapToGrid w:val="0"/>
          <w:color w:val="000000"/>
        </w:rPr>
        <w:t>Cases that need to be referred to the Appeals and Retirements Committee</w:t>
      </w:r>
    </w:p>
    <w:p w14:paraId="3B8FEE9E" w14:textId="77777777" w:rsidR="00581587" w:rsidRPr="00581587" w:rsidRDefault="00581587" w:rsidP="00581587">
      <w:pPr>
        <w:widowControl w:val="0"/>
        <w:jc w:val="both"/>
        <w:rPr>
          <w:bCs/>
          <w:snapToGrid w:val="0"/>
          <w:color w:val="000000"/>
        </w:rPr>
      </w:pPr>
      <w:r w:rsidRPr="00581587">
        <w:rPr>
          <w:bCs/>
          <w:snapToGrid w:val="0"/>
          <w:color w:val="000000"/>
        </w:rPr>
        <w:t>2.1 A right of appeal exists against any recommendation made to the Appeals and Retirements Committee.</w:t>
      </w:r>
    </w:p>
    <w:p w14:paraId="1BC1EFE7" w14:textId="77777777" w:rsidR="00581587" w:rsidRPr="00581587" w:rsidRDefault="00581587" w:rsidP="00581587">
      <w:pPr>
        <w:widowControl w:val="0"/>
        <w:jc w:val="both"/>
        <w:rPr>
          <w:rFonts w:cs="Arial"/>
          <w:bCs/>
          <w:snapToGrid w:val="0"/>
          <w:color w:val="000000"/>
        </w:rPr>
      </w:pPr>
    </w:p>
    <w:p w14:paraId="7A1D35D9" w14:textId="77777777" w:rsidR="00581587" w:rsidRPr="00581587" w:rsidRDefault="00581587" w:rsidP="00581587">
      <w:pPr>
        <w:widowControl w:val="0"/>
        <w:jc w:val="both"/>
        <w:rPr>
          <w:bCs/>
          <w:snapToGrid w:val="0"/>
          <w:color w:val="000000"/>
        </w:rPr>
      </w:pPr>
      <w:r w:rsidRPr="00581587">
        <w:rPr>
          <w:bCs/>
          <w:snapToGrid w:val="0"/>
          <w:color w:val="000000"/>
        </w:rPr>
        <w:t xml:space="preserve">2.2 Prior to a report being made to the Appeals and Retirements Committee, the person who is the subject of the report will be notified of the recommendation to be made.  If they do not agree with this recommendation, they will be allowed to submit a written appeal against this.  The written appeal will be considered by the Appeals and Retirements Committee as part of its decision </w:t>
      </w:r>
      <w:proofErr w:type="gramStart"/>
      <w:r w:rsidRPr="00581587">
        <w:rPr>
          <w:bCs/>
          <w:snapToGrid w:val="0"/>
          <w:color w:val="000000"/>
        </w:rPr>
        <w:t>in regard to</w:t>
      </w:r>
      <w:proofErr w:type="gramEnd"/>
      <w:r w:rsidRPr="00581587">
        <w:rPr>
          <w:bCs/>
          <w:snapToGrid w:val="0"/>
          <w:color w:val="000000"/>
        </w:rPr>
        <w:t xml:space="preserve"> the report submitted.  Where the committee may wish to ask the appellant for additional information, they may request that the appellant attends the meeting.  Also, if the appellant wishes to make a personal statement of case, they may attend the committee meeting to do this.  In either circumstance, the appellant will not be allowed to be present whilst the decision is discussed.  If the appellant does attend the meeting, a union representative or work colleague may accompany them. The decision of the Appeals and Retirements Committee is final.</w:t>
      </w:r>
    </w:p>
    <w:p w14:paraId="4DA7CA3B" w14:textId="77777777" w:rsidR="00581587" w:rsidRPr="00581587" w:rsidRDefault="00581587" w:rsidP="00581587">
      <w:pPr>
        <w:widowControl w:val="0"/>
        <w:jc w:val="both"/>
        <w:rPr>
          <w:bCs/>
          <w:snapToGrid w:val="0"/>
          <w:color w:val="000000"/>
        </w:rPr>
      </w:pPr>
    </w:p>
    <w:p w14:paraId="390611C6" w14:textId="77777777" w:rsidR="00581587" w:rsidRPr="00581587" w:rsidRDefault="00581587" w:rsidP="00581587">
      <w:pPr>
        <w:widowControl w:val="0"/>
        <w:jc w:val="both"/>
        <w:rPr>
          <w:b/>
          <w:bCs/>
          <w:snapToGrid w:val="0"/>
          <w:color w:val="000000"/>
        </w:rPr>
      </w:pPr>
      <w:r w:rsidRPr="00581587">
        <w:rPr>
          <w:b/>
          <w:bCs/>
          <w:snapToGrid w:val="0"/>
          <w:color w:val="000000"/>
        </w:rPr>
        <w:t xml:space="preserve">Cases that are determined by a </w:t>
      </w:r>
      <w:r w:rsidR="00EA654F">
        <w:rPr>
          <w:b/>
          <w:bCs/>
          <w:snapToGrid w:val="0"/>
          <w:color w:val="000000"/>
        </w:rPr>
        <w:t>Head of Service</w:t>
      </w:r>
      <w:r w:rsidRPr="00581587">
        <w:rPr>
          <w:b/>
          <w:bCs/>
          <w:snapToGrid w:val="0"/>
          <w:color w:val="000000"/>
        </w:rPr>
        <w:t xml:space="preserve"> (cases where there is no pension strain or cost to the council) </w:t>
      </w:r>
    </w:p>
    <w:p w14:paraId="38E4B8B0" w14:textId="77777777" w:rsidR="00581587" w:rsidRPr="00581587" w:rsidRDefault="00581587" w:rsidP="00581587">
      <w:pPr>
        <w:widowControl w:val="0"/>
        <w:jc w:val="both"/>
        <w:rPr>
          <w:b/>
          <w:bCs/>
          <w:snapToGrid w:val="0"/>
          <w:color w:val="000000"/>
        </w:rPr>
      </w:pPr>
    </w:p>
    <w:p w14:paraId="398E1706" w14:textId="77777777" w:rsidR="00581587" w:rsidRPr="00581587" w:rsidRDefault="00581587" w:rsidP="00581587">
      <w:pPr>
        <w:widowControl w:val="0"/>
        <w:jc w:val="both"/>
        <w:rPr>
          <w:bCs/>
          <w:snapToGrid w:val="0"/>
          <w:color w:val="000000"/>
        </w:rPr>
      </w:pPr>
      <w:r w:rsidRPr="00581587">
        <w:rPr>
          <w:bCs/>
          <w:snapToGrid w:val="0"/>
          <w:color w:val="000000"/>
        </w:rPr>
        <w:t xml:space="preserve">2.3 If an employee’s request for flexible retirement is refused by a </w:t>
      </w:r>
      <w:r w:rsidR="00EA654F">
        <w:rPr>
          <w:bCs/>
          <w:snapToGrid w:val="0"/>
          <w:color w:val="000000"/>
        </w:rPr>
        <w:t>Head of Service</w:t>
      </w:r>
      <w:r w:rsidRPr="00581587">
        <w:rPr>
          <w:bCs/>
          <w:snapToGrid w:val="0"/>
          <w:color w:val="000000"/>
        </w:rPr>
        <w:t xml:space="preserve"> the employee may choose to appeal this decision through the Grievance Procedure of the Council. </w:t>
      </w:r>
    </w:p>
    <w:p w14:paraId="1B1607EA" w14:textId="77777777" w:rsidR="00581587" w:rsidRPr="00581587" w:rsidRDefault="00581587" w:rsidP="00581587">
      <w:pPr>
        <w:widowControl w:val="0"/>
        <w:jc w:val="both"/>
        <w:rPr>
          <w:bCs/>
          <w:snapToGrid w:val="0"/>
          <w:color w:val="FF0000"/>
        </w:rPr>
      </w:pPr>
    </w:p>
    <w:p w14:paraId="373A6178" w14:textId="77777777" w:rsidR="00581587" w:rsidRPr="00581587" w:rsidRDefault="00581587" w:rsidP="00581587">
      <w:pPr>
        <w:widowControl w:val="0"/>
        <w:jc w:val="both"/>
        <w:rPr>
          <w:rFonts w:cs="Arial"/>
          <w:bCs/>
          <w:snapToGrid w:val="0"/>
          <w:color w:val="FF0000"/>
        </w:rPr>
      </w:pPr>
      <w:r w:rsidRPr="00581587">
        <w:rPr>
          <w:rFonts w:cs="Arial"/>
          <w:bCs/>
          <w:snapToGrid w:val="0"/>
          <w:color w:val="FF0000"/>
        </w:rPr>
        <w:t xml:space="preserve"> </w:t>
      </w:r>
    </w:p>
    <w:p w14:paraId="55B9FAAE" w14:textId="77777777" w:rsidR="00581587" w:rsidRPr="00581587" w:rsidRDefault="00581587" w:rsidP="00581587">
      <w:pPr>
        <w:widowControl w:val="0"/>
        <w:jc w:val="both"/>
        <w:rPr>
          <w:rFonts w:cs="Arial"/>
          <w:bCs/>
          <w:snapToGrid w:val="0"/>
          <w:color w:val="FF0000"/>
        </w:rPr>
      </w:pPr>
    </w:p>
    <w:p w14:paraId="5AD2C6FE" w14:textId="77777777" w:rsidR="00403A91" w:rsidRPr="003A209D" w:rsidRDefault="00581587" w:rsidP="00403A91">
      <w:pPr>
        <w:pStyle w:val="BodyText"/>
        <w:spacing w:after="0" w:line="240" w:lineRule="auto"/>
        <w:ind w:left="426" w:right="283"/>
        <w:contextualSpacing/>
        <w:jc w:val="right"/>
        <w:rPr>
          <w:rFonts w:cs="Arial"/>
          <w:b/>
          <w:bCs/>
          <w:sz w:val="24"/>
          <w:szCs w:val="24"/>
        </w:rPr>
      </w:pPr>
      <w:r w:rsidRPr="00581587">
        <w:rPr>
          <w:rFonts w:cs="Arial"/>
          <w:bCs/>
          <w:snapToGrid w:val="0"/>
          <w:color w:val="FF0000"/>
        </w:rPr>
        <w:br w:type="page"/>
      </w:r>
      <w:r w:rsidR="00403A91">
        <w:rPr>
          <w:rFonts w:cs="Arial"/>
          <w:b/>
          <w:snapToGrid w:val="0"/>
          <w:color w:val="000000"/>
        </w:rPr>
        <w:t xml:space="preserve"> </w:t>
      </w:r>
      <w:r w:rsidR="00403A91" w:rsidRPr="00403A91">
        <w:rPr>
          <w:rFonts w:cs="Arial"/>
          <w:bCs/>
          <w:sz w:val="24"/>
          <w:szCs w:val="24"/>
        </w:rPr>
        <w:t>Appendix viii) b)</w:t>
      </w:r>
    </w:p>
    <w:p w14:paraId="6328D9AF" w14:textId="77777777" w:rsidR="00581587" w:rsidRPr="00581587" w:rsidRDefault="00652CF1" w:rsidP="00581587">
      <w:pPr>
        <w:widowControl w:val="0"/>
        <w:jc w:val="right"/>
        <w:rPr>
          <w:rFonts w:cs="Arial"/>
          <w:b/>
          <w:snapToGrid w:val="0"/>
          <w:color w:val="000000"/>
        </w:rPr>
      </w:pPr>
      <w:r w:rsidRPr="00581587">
        <w:rPr>
          <w:rFonts w:cs="Arial"/>
          <w:b/>
          <w:snapToGrid w:val="0"/>
          <w:color w:val="000000"/>
        </w:rPr>
        <w:t>Appendix B</w:t>
      </w:r>
    </w:p>
    <w:p w14:paraId="3133FF7E" w14:textId="77777777" w:rsidR="00581587" w:rsidRPr="00581587" w:rsidRDefault="00581587" w:rsidP="00581587">
      <w:pPr>
        <w:widowControl w:val="0"/>
        <w:jc w:val="both"/>
        <w:rPr>
          <w:rFonts w:cs="Arial"/>
          <w:bCs/>
          <w:snapToGrid w:val="0"/>
          <w:color w:val="000000"/>
        </w:rPr>
      </w:pPr>
    </w:p>
    <w:p w14:paraId="32DD5459" w14:textId="77777777" w:rsidR="00581587" w:rsidRPr="00581587" w:rsidRDefault="00581587" w:rsidP="00581587">
      <w:pPr>
        <w:widowControl w:val="0"/>
        <w:jc w:val="center"/>
        <w:rPr>
          <w:b/>
          <w:snapToGrid w:val="0"/>
          <w:color w:val="000000"/>
        </w:rPr>
      </w:pPr>
      <w:r w:rsidRPr="00581587">
        <w:rPr>
          <w:b/>
          <w:snapToGrid w:val="0"/>
          <w:color w:val="000000"/>
        </w:rPr>
        <w:t>REDUNDANCY AND EARLY RETIREMENT POLICY</w:t>
      </w:r>
    </w:p>
    <w:p w14:paraId="6FF9B06C" w14:textId="77777777" w:rsidR="00581587" w:rsidRPr="00581587" w:rsidRDefault="00581587" w:rsidP="00581587">
      <w:pPr>
        <w:widowControl w:val="0"/>
        <w:jc w:val="both"/>
        <w:rPr>
          <w:rFonts w:cs="Arial"/>
          <w:bCs/>
          <w:snapToGrid w:val="0"/>
          <w:color w:val="000000"/>
        </w:rPr>
      </w:pPr>
    </w:p>
    <w:p w14:paraId="58F2141F" w14:textId="77777777" w:rsidR="00581587" w:rsidRPr="00581587" w:rsidRDefault="00581587" w:rsidP="00581587">
      <w:pPr>
        <w:widowControl w:val="0"/>
        <w:jc w:val="both"/>
        <w:rPr>
          <w:rFonts w:cs="Arial"/>
          <w:b/>
          <w:snapToGrid w:val="0"/>
          <w:color w:val="000000"/>
        </w:rPr>
      </w:pPr>
      <w:r w:rsidRPr="00581587">
        <w:rPr>
          <w:rFonts w:cs="Arial"/>
          <w:b/>
          <w:snapToGrid w:val="0"/>
          <w:color w:val="000000"/>
        </w:rPr>
        <w:t>1. Dismissal or Early Retirement on Grounds of Redundancy</w:t>
      </w:r>
    </w:p>
    <w:p w14:paraId="59FAD0E3" w14:textId="77777777" w:rsidR="00581587" w:rsidRPr="00581587" w:rsidRDefault="00581587" w:rsidP="00581587">
      <w:pPr>
        <w:widowControl w:val="0"/>
        <w:jc w:val="both"/>
        <w:rPr>
          <w:rFonts w:cs="Arial"/>
          <w:bCs/>
          <w:snapToGrid w:val="0"/>
          <w:color w:val="000000"/>
        </w:rPr>
      </w:pPr>
      <w:r w:rsidRPr="00581587">
        <w:rPr>
          <w:rFonts w:cs="Arial"/>
          <w:bCs/>
          <w:snapToGrid w:val="0"/>
          <w:color w:val="000000"/>
        </w:rPr>
        <w:t>1.1 Employees with two or more years’ continuous local government service, including service covered by the Redundancy Payments Modification Order (RPMO) who are dismissed by reason of redundancy will receive the statutory redundancy compensation payment as defined within the Employment Rights Act 1996).</w:t>
      </w:r>
    </w:p>
    <w:p w14:paraId="062C7653" w14:textId="77777777" w:rsidR="00581587" w:rsidRPr="00581587" w:rsidRDefault="00581587" w:rsidP="00581587">
      <w:pPr>
        <w:widowControl w:val="0"/>
        <w:jc w:val="both"/>
        <w:rPr>
          <w:rFonts w:cs="Arial"/>
          <w:bCs/>
          <w:snapToGrid w:val="0"/>
          <w:color w:val="000000"/>
        </w:rPr>
      </w:pPr>
    </w:p>
    <w:p w14:paraId="72C40A2B" w14:textId="77777777" w:rsidR="00581587" w:rsidRPr="00581587" w:rsidRDefault="00581587" w:rsidP="00581587">
      <w:pPr>
        <w:widowControl w:val="0"/>
        <w:jc w:val="both"/>
        <w:rPr>
          <w:rFonts w:cs="Arial"/>
          <w:bCs/>
          <w:snapToGrid w:val="0"/>
          <w:color w:val="000000"/>
        </w:rPr>
      </w:pPr>
      <w:r w:rsidRPr="00581587">
        <w:rPr>
          <w:rFonts w:eastAsia="Calibri" w:cs="Arial"/>
          <w:color w:val="000000"/>
          <w:spacing w:val="-5"/>
          <w:szCs w:val="24"/>
        </w:rPr>
        <w:t xml:space="preserve">Discretions applied under the Local Government (Early Termination Of Employment) (Discretionary Compensation) (England And Wales) Regulations 2006 by the Council in its published suite of discretions confirms that the redundancy pay calculation will </w:t>
      </w:r>
      <w:proofErr w:type="gramStart"/>
      <w:r w:rsidRPr="00581587">
        <w:rPr>
          <w:rFonts w:eastAsia="Calibri" w:cs="Arial"/>
          <w:color w:val="000000"/>
          <w:spacing w:val="-5"/>
          <w:szCs w:val="24"/>
        </w:rPr>
        <w:t xml:space="preserve">be </w:t>
      </w:r>
      <w:r w:rsidRPr="00581587">
        <w:rPr>
          <w:rFonts w:cs="Arial"/>
          <w:bCs/>
          <w:snapToGrid w:val="0"/>
          <w:color w:val="000000"/>
        </w:rPr>
        <w:t xml:space="preserve"> based</w:t>
      </w:r>
      <w:proofErr w:type="gramEnd"/>
      <w:r w:rsidRPr="00581587">
        <w:rPr>
          <w:rFonts w:cs="Arial"/>
          <w:bCs/>
          <w:snapToGrid w:val="0"/>
          <w:color w:val="000000"/>
        </w:rPr>
        <w:t xml:space="preserve"> on an actual week’s pay. In </w:t>
      </w:r>
      <w:proofErr w:type="gramStart"/>
      <w:r w:rsidRPr="00581587">
        <w:rPr>
          <w:rFonts w:cs="Arial"/>
          <w:bCs/>
          <w:snapToGrid w:val="0"/>
          <w:color w:val="000000"/>
        </w:rPr>
        <w:t>addition</w:t>
      </w:r>
      <w:proofErr w:type="gramEnd"/>
      <w:r w:rsidRPr="00581587">
        <w:rPr>
          <w:rFonts w:cs="Arial"/>
          <w:bCs/>
          <w:snapToGrid w:val="0"/>
          <w:color w:val="000000"/>
        </w:rPr>
        <w:t xml:space="preserve"> under these local discretions the council has determined that a</w:t>
      </w:r>
      <w:r w:rsidRPr="00581587">
        <w:rPr>
          <w:rFonts w:eastAsia="Calibri" w:cs="Arial"/>
          <w:color w:val="000000"/>
          <w:spacing w:val="-5"/>
          <w:szCs w:val="24"/>
        </w:rPr>
        <w:t xml:space="preserve"> fixed payment will be made for all dismissals due to the reason of redundancy. For redundancy dismissals this will be a compensatory payment equivalent to 30% of the value of the statutory redundancy payment (calculated using actual week’s pay); this to be paid in addition to any required statutory redundancy payment.</w:t>
      </w:r>
    </w:p>
    <w:p w14:paraId="65C7006A" w14:textId="77777777" w:rsidR="00581587" w:rsidRPr="00581587" w:rsidRDefault="00581587" w:rsidP="00581587">
      <w:pPr>
        <w:widowControl w:val="0"/>
        <w:jc w:val="both"/>
        <w:rPr>
          <w:rFonts w:cs="Arial"/>
          <w:bCs/>
          <w:snapToGrid w:val="0"/>
          <w:color w:val="000000"/>
        </w:rPr>
      </w:pPr>
    </w:p>
    <w:p w14:paraId="1E67D8D2" w14:textId="77777777" w:rsidR="00581587" w:rsidRPr="00581587" w:rsidRDefault="00581587" w:rsidP="00581587">
      <w:pPr>
        <w:widowControl w:val="0"/>
        <w:jc w:val="both"/>
        <w:rPr>
          <w:rFonts w:cs="Arial"/>
          <w:bCs/>
          <w:snapToGrid w:val="0"/>
          <w:color w:val="000000"/>
        </w:rPr>
      </w:pPr>
      <w:r w:rsidRPr="00581587">
        <w:rPr>
          <w:rFonts w:cs="Arial"/>
          <w:bCs/>
          <w:snapToGrid w:val="0"/>
          <w:color w:val="000000"/>
        </w:rPr>
        <w:t xml:space="preserve">1.2 The service that will be </w:t>
      </w:r>
      <w:proofErr w:type="gramStart"/>
      <w:r w:rsidRPr="00581587">
        <w:rPr>
          <w:rFonts w:cs="Arial"/>
          <w:bCs/>
          <w:snapToGrid w:val="0"/>
          <w:color w:val="000000"/>
        </w:rPr>
        <w:t>taken into account</w:t>
      </w:r>
      <w:proofErr w:type="gramEnd"/>
      <w:r w:rsidRPr="00581587">
        <w:rPr>
          <w:rFonts w:cs="Arial"/>
          <w:bCs/>
          <w:snapToGrid w:val="0"/>
          <w:color w:val="000000"/>
        </w:rPr>
        <w:t xml:space="preserve"> when calculating entitlement to a redundancy payment under this policy will be continuous service with an organisation covered by the RPMO.</w:t>
      </w:r>
    </w:p>
    <w:p w14:paraId="10F5C2DD" w14:textId="77777777" w:rsidR="00581587" w:rsidRPr="00581587" w:rsidRDefault="00581587" w:rsidP="00581587">
      <w:pPr>
        <w:widowControl w:val="0"/>
        <w:jc w:val="both"/>
        <w:rPr>
          <w:rFonts w:cs="Arial"/>
          <w:bCs/>
          <w:snapToGrid w:val="0"/>
          <w:color w:val="000000"/>
        </w:rPr>
      </w:pPr>
    </w:p>
    <w:p w14:paraId="3F415235" w14:textId="77777777" w:rsidR="00581587" w:rsidRPr="00581587" w:rsidRDefault="00581587" w:rsidP="00581587">
      <w:pPr>
        <w:widowControl w:val="0"/>
        <w:jc w:val="both"/>
        <w:rPr>
          <w:rFonts w:cs="Arial"/>
          <w:b/>
          <w:snapToGrid w:val="0"/>
          <w:color w:val="000000"/>
        </w:rPr>
      </w:pPr>
      <w:r w:rsidRPr="00581587">
        <w:rPr>
          <w:rFonts w:cs="Arial"/>
          <w:b/>
          <w:snapToGrid w:val="0"/>
          <w:color w:val="000000"/>
        </w:rPr>
        <w:t>2. Early Retirement on Grounds of Efficiency of the Service</w:t>
      </w:r>
    </w:p>
    <w:p w14:paraId="47FB7E64" w14:textId="77777777" w:rsidR="00581587" w:rsidRPr="00581587" w:rsidRDefault="00581587" w:rsidP="00581587">
      <w:pPr>
        <w:widowControl w:val="0"/>
        <w:jc w:val="both"/>
        <w:rPr>
          <w:rFonts w:cs="Arial"/>
          <w:bCs/>
          <w:snapToGrid w:val="0"/>
          <w:color w:val="000000"/>
        </w:rPr>
      </w:pPr>
      <w:r w:rsidRPr="00581587">
        <w:rPr>
          <w:rFonts w:cs="Arial"/>
          <w:bCs/>
          <w:snapToGrid w:val="0"/>
          <w:color w:val="000000"/>
        </w:rPr>
        <w:t xml:space="preserve">2.1 An employee aged 55 or over with sufficient qualifying service who is granted early retirement through a dismissal due to efficiency of the service will have their occupational (Local Government Pension Scheme) payment released as allowed with the LGPS Regulations. </w:t>
      </w:r>
    </w:p>
    <w:p w14:paraId="162C9294" w14:textId="77777777" w:rsidR="00581587" w:rsidRPr="00581587" w:rsidRDefault="00581587" w:rsidP="00581587">
      <w:pPr>
        <w:widowControl w:val="0"/>
        <w:jc w:val="both"/>
        <w:rPr>
          <w:rFonts w:cs="Arial"/>
          <w:bCs/>
          <w:snapToGrid w:val="0"/>
          <w:color w:val="000000"/>
        </w:rPr>
      </w:pPr>
    </w:p>
    <w:p w14:paraId="46FFFFD9" w14:textId="77777777" w:rsidR="00581587" w:rsidRPr="00581587" w:rsidRDefault="00581587" w:rsidP="00581587">
      <w:pPr>
        <w:widowControl w:val="0"/>
        <w:jc w:val="both"/>
        <w:rPr>
          <w:rFonts w:cs="Arial"/>
          <w:bCs/>
          <w:snapToGrid w:val="0"/>
          <w:color w:val="000000"/>
        </w:rPr>
      </w:pPr>
      <w:r w:rsidRPr="00581587">
        <w:rPr>
          <w:rFonts w:cs="Arial"/>
          <w:bCs/>
          <w:snapToGrid w:val="0"/>
          <w:color w:val="000000"/>
        </w:rPr>
        <w:t xml:space="preserve">2.2 </w:t>
      </w:r>
      <w:r w:rsidRPr="00581587">
        <w:rPr>
          <w:rFonts w:eastAsia="Calibri" w:cs="Arial"/>
          <w:color w:val="000000"/>
          <w:spacing w:val="-5"/>
          <w:szCs w:val="24"/>
        </w:rPr>
        <w:t xml:space="preserve">Discretions applied under the Local Government (Early Termination </w:t>
      </w:r>
      <w:proofErr w:type="gramStart"/>
      <w:r w:rsidRPr="00581587">
        <w:rPr>
          <w:rFonts w:eastAsia="Calibri" w:cs="Arial"/>
          <w:color w:val="000000"/>
          <w:spacing w:val="-5"/>
          <w:szCs w:val="24"/>
        </w:rPr>
        <w:t>Of</w:t>
      </w:r>
      <w:proofErr w:type="gramEnd"/>
      <w:r w:rsidRPr="00581587">
        <w:rPr>
          <w:rFonts w:eastAsia="Calibri" w:cs="Arial"/>
          <w:color w:val="000000"/>
          <w:spacing w:val="-5"/>
          <w:szCs w:val="24"/>
        </w:rPr>
        <w:t xml:space="preserve"> Employment) (Discretionary Compensation) (England And Wales) Regulations 2006 by the Council in its published suite of discretions confirms that a fixed discretionary payment will be made for all dismissals due to the reason of efficiency of the service. For dismissals due to efficiency of the service a compensatory payment will be made equivalent to 30% of the value of a notional redundancy payment calculated using actual week’s pay as if the reason for dismissal was redundancy; there is no provision for any statutory payment and no other compensatory payment will be made</w:t>
      </w:r>
      <w:r w:rsidRPr="00581587">
        <w:rPr>
          <w:rFonts w:cs="Arial"/>
          <w:bCs/>
          <w:snapToGrid w:val="0"/>
          <w:color w:val="000000"/>
        </w:rPr>
        <w:t>.</w:t>
      </w:r>
    </w:p>
    <w:p w14:paraId="6606F7A1" w14:textId="77777777" w:rsidR="00581587" w:rsidRPr="00581587" w:rsidRDefault="00581587" w:rsidP="00581587">
      <w:pPr>
        <w:widowControl w:val="0"/>
        <w:jc w:val="both"/>
        <w:rPr>
          <w:rFonts w:cs="Arial"/>
          <w:bCs/>
          <w:snapToGrid w:val="0"/>
          <w:color w:val="000000"/>
        </w:rPr>
      </w:pPr>
    </w:p>
    <w:p w14:paraId="3456C67D" w14:textId="77777777" w:rsidR="00581587" w:rsidRPr="00581587" w:rsidRDefault="00581587" w:rsidP="00581587">
      <w:pPr>
        <w:widowControl w:val="0"/>
        <w:jc w:val="both"/>
        <w:rPr>
          <w:rFonts w:cs="Arial"/>
          <w:b/>
          <w:snapToGrid w:val="0"/>
          <w:color w:val="000000"/>
        </w:rPr>
      </w:pPr>
      <w:r w:rsidRPr="00581587">
        <w:rPr>
          <w:rFonts w:cs="Arial"/>
          <w:b/>
          <w:snapToGrid w:val="0"/>
          <w:color w:val="000000"/>
        </w:rPr>
        <w:t>3.</w:t>
      </w:r>
      <w:r w:rsidRPr="00581587">
        <w:rPr>
          <w:rFonts w:cs="Arial"/>
          <w:b/>
          <w:snapToGrid w:val="0"/>
          <w:color w:val="000000"/>
        </w:rPr>
        <w:tab/>
        <w:t xml:space="preserve">Appeal </w:t>
      </w:r>
    </w:p>
    <w:p w14:paraId="00096B93" w14:textId="77777777" w:rsidR="00581587" w:rsidRPr="00581587" w:rsidRDefault="00581587" w:rsidP="00581587">
      <w:pPr>
        <w:widowControl w:val="0"/>
        <w:jc w:val="both"/>
        <w:rPr>
          <w:rFonts w:cs="Arial"/>
          <w:bCs/>
          <w:snapToGrid w:val="0"/>
          <w:color w:val="000000"/>
        </w:rPr>
      </w:pPr>
      <w:r w:rsidRPr="00581587">
        <w:rPr>
          <w:rFonts w:cs="Arial"/>
          <w:bCs/>
          <w:snapToGrid w:val="0"/>
          <w:color w:val="000000"/>
        </w:rPr>
        <w:t>There is a right of appeal against any dismissal from the Council including dismissals relating to “early retirement”. Any such appeal would be heard by the Appeals and Retirements Committee.</w:t>
      </w:r>
    </w:p>
    <w:p w14:paraId="0470A8CB" w14:textId="77777777" w:rsidR="00581587" w:rsidRPr="00581587" w:rsidRDefault="00581587" w:rsidP="00581587">
      <w:pPr>
        <w:widowControl w:val="0"/>
        <w:jc w:val="both"/>
        <w:rPr>
          <w:rFonts w:cs="Arial"/>
          <w:bCs/>
          <w:snapToGrid w:val="0"/>
          <w:color w:val="000000"/>
        </w:rPr>
      </w:pPr>
    </w:p>
    <w:p w14:paraId="710824AC" w14:textId="77777777" w:rsidR="00581587" w:rsidRPr="00581587" w:rsidRDefault="00581587" w:rsidP="00581587">
      <w:pPr>
        <w:widowControl w:val="0"/>
        <w:jc w:val="both"/>
        <w:rPr>
          <w:rFonts w:cs="Arial"/>
          <w:b/>
          <w:snapToGrid w:val="0"/>
          <w:color w:val="000000"/>
        </w:rPr>
      </w:pPr>
      <w:r w:rsidRPr="00581587">
        <w:rPr>
          <w:rFonts w:cs="Arial"/>
          <w:b/>
          <w:snapToGrid w:val="0"/>
          <w:color w:val="000000"/>
        </w:rPr>
        <w:t>4. Relationship with other compromise payments</w:t>
      </w:r>
    </w:p>
    <w:p w14:paraId="6073D96E" w14:textId="77777777" w:rsidR="00581587" w:rsidRPr="00581587" w:rsidRDefault="00581587" w:rsidP="00581587">
      <w:pPr>
        <w:widowControl w:val="0"/>
        <w:jc w:val="both"/>
        <w:rPr>
          <w:bCs/>
          <w:snapToGrid w:val="0"/>
          <w:color w:val="000000"/>
        </w:rPr>
      </w:pPr>
      <w:r w:rsidRPr="00581587">
        <w:rPr>
          <w:bCs/>
          <w:snapToGrid w:val="0"/>
          <w:color w:val="000000"/>
        </w:rPr>
        <w:t xml:space="preserve">This policy determines the compensatory payments to be made for redundancy and efficiency of the service.  </w:t>
      </w:r>
    </w:p>
    <w:p w14:paraId="57693DD5" w14:textId="77777777" w:rsidR="00581587" w:rsidRPr="00581587" w:rsidRDefault="00581587" w:rsidP="00581587">
      <w:pPr>
        <w:widowControl w:val="0"/>
        <w:jc w:val="both"/>
        <w:rPr>
          <w:bCs/>
          <w:snapToGrid w:val="0"/>
          <w:color w:val="000000"/>
        </w:rPr>
      </w:pPr>
    </w:p>
    <w:p w14:paraId="7B75EB4B" w14:textId="77777777" w:rsidR="00581587" w:rsidRDefault="00581587" w:rsidP="00403A91">
      <w:pPr>
        <w:widowControl w:val="0"/>
        <w:jc w:val="both"/>
        <w:rPr>
          <w:bCs/>
          <w:snapToGrid w:val="0"/>
          <w:color w:val="000000"/>
        </w:rPr>
      </w:pPr>
      <w:r w:rsidRPr="00581587">
        <w:rPr>
          <w:bCs/>
          <w:snapToGrid w:val="0"/>
          <w:color w:val="000000"/>
        </w:rPr>
        <w:t xml:space="preserve">Compensatory payments made under this policy stand separately to any compensatory payments made through Settlement Agreements. Payments made under a Settlement Agreement will be authorised by the relevant officer dependent upon the nature of and reason for the settlement payment. </w:t>
      </w:r>
    </w:p>
    <w:p w14:paraId="75D0910E" w14:textId="77777777" w:rsidR="00652CF1" w:rsidRDefault="00652CF1" w:rsidP="00652CF1">
      <w:pPr>
        <w:widowControl w:val="0"/>
        <w:jc w:val="right"/>
        <w:rPr>
          <w:bCs/>
          <w:snapToGrid w:val="0"/>
          <w:color w:val="000000"/>
        </w:rPr>
      </w:pPr>
      <w:r>
        <w:rPr>
          <w:bCs/>
          <w:snapToGrid w:val="0"/>
          <w:color w:val="000000"/>
        </w:rPr>
        <w:t>Appendix ix</w:t>
      </w:r>
    </w:p>
    <w:p w14:paraId="5D59CD2E" w14:textId="77777777" w:rsidR="00652CF1" w:rsidRDefault="00652CF1" w:rsidP="00652CF1">
      <w:pPr>
        <w:widowControl w:val="0"/>
        <w:jc w:val="right"/>
        <w:rPr>
          <w:bCs/>
          <w:snapToGrid w:val="0"/>
          <w:color w:val="000000"/>
        </w:rPr>
      </w:pPr>
    </w:p>
    <w:p w14:paraId="59214ABB" w14:textId="74D911FE" w:rsidR="00652CF1" w:rsidRDefault="00110BFD" w:rsidP="00652CF1">
      <w:pPr>
        <w:widowControl w:val="0"/>
        <w:jc w:val="center"/>
        <w:rPr>
          <w:b/>
          <w:bCs/>
          <w:snapToGrid w:val="0"/>
          <w:color w:val="000000"/>
        </w:rPr>
      </w:pPr>
      <w:r>
        <w:rPr>
          <w:b/>
          <w:bCs/>
          <w:snapToGrid w:val="0"/>
          <w:color w:val="000000"/>
        </w:rPr>
        <w:t xml:space="preserve">Special </w:t>
      </w:r>
      <w:r w:rsidR="00652CF1" w:rsidRPr="00652CF1">
        <w:rPr>
          <w:b/>
          <w:bCs/>
          <w:snapToGrid w:val="0"/>
          <w:color w:val="000000"/>
        </w:rPr>
        <w:t>Severance Payments Policy</w:t>
      </w:r>
    </w:p>
    <w:p w14:paraId="6D3CCCC9" w14:textId="77777777" w:rsidR="00D32888" w:rsidRDefault="00D32888" w:rsidP="00652CF1">
      <w:pPr>
        <w:widowControl w:val="0"/>
        <w:jc w:val="center"/>
        <w:rPr>
          <w:b/>
          <w:bCs/>
          <w:snapToGrid w:val="0"/>
          <w:color w:val="000000"/>
        </w:rPr>
      </w:pPr>
    </w:p>
    <w:p w14:paraId="50892797" w14:textId="77777777" w:rsidR="00D32888" w:rsidRPr="00D32888" w:rsidRDefault="00D32888" w:rsidP="00D32888">
      <w:pPr>
        <w:shd w:val="clear" w:color="auto" w:fill="FFFFFF"/>
        <w:outlineLvl w:val="1"/>
        <w:rPr>
          <w:rFonts w:cs="Arial"/>
          <w:b/>
          <w:bCs/>
          <w:color w:val="0B0C0C"/>
          <w:szCs w:val="24"/>
          <w:lang w:eastAsia="en-GB"/>
        </w:rPr>
      </w:pPr>
      <w:r w:rsidRPr="00D32888">
        <w:rPr>
          <w:rFonts w:cs="Arial"/>
          <w:b/>
          <w:bCs/>
          <w:color w:val="0B0C0C"/>
          <w:szCs w:val="24"/>
          <w:lang w:eastAsia="en-GB"/>
        </w:rPr>
        <w:t>1. Introduction</w:t>
      </w:r>
    </w:p>
    <w:p w14:paraId="38C0AD57" w14:textId="77777777" w:rsidR="00D32888" w:rsidRPr="00D32888" w:rsidRDefault="00D32888" w:rsidP="00B34B13">
      <w:pPr>
        <w:shd w:val="clear" w:color="auto" w:fill="FFFFFF"/>
        <w:spacing w:before="120" w:after="300"/>
        <w:rPr>
          <w:rFonts w:cs="Arial"/>
          <w:color w:val="0B0C0C"/>
          <w:szCs w:val="24"/>
          <w:lang w:eastAsia="en-GB"/>
        </w:rPr>
      </w:pPr>
      <w:r w:rsidRPr="00D32888">
        <w:rPr>
          <w:rFonts w:cs="Arial"/>
          <w:color w:val="0B0C0C"/>
          <w:szCs w:val="24"/>
          <w:lang w:eastAsia="en-GB"/>
        </w:rPr>
        <w:t xml:space="preserve">1.1 Most public sector workers enjoy statutory and contractual redundancy or severance terms that are significantly better than the minimum statutory redundancy entitlement and are often higher than the value of redundancy or severance payments made in the private sector. The government is of the view that paying additional, discretionary sums on top of these entitlements (“special severance payments”) do not usually provide good value for money or offer fairness to the taxpayers who fund them and so, should only be </w:t>
      </w:r>
      <w:r>
        <w:rPr>
          <w:rFonts w:cs="Arial"/>
          <w:color w:val="0B0C0C"/>
          <w:szCs w:val="24"/>
          <w:lang w:eastAsia="en-GB"/>
        </w:rPr>
        <w:t>considered in exceptional cases.</w:t>
      </w:r>
    </w:p>
    <w:p w14:paraId="52C6A225"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1.2 This guidance forms part of the best value regime for local authorities in England. The best value duty, as set out in </w:t>
      </w:r>
      <w:hyperlink r:id="rId13" w:history="1">
        <w:r w:rsidRPr="00D32888">
          <w:rPr>
            <w:rFonts w:cs="Arial"/>
            <w:color w:val="1D70B8"/>
            <w:szCs w:val="24"/>
            <w:u w:val="single"/>
            <w:lang w:eastAsia="en-GB"/>
          </w:rPr>
          <w:t>section 3 of the Local Government Act 1999</w:t>
        </w:r>
      </w:hyperlink>
      <w:r w:rsidRPr="00D32888">
        <w:rPr>
          <w:rFonts w:cs="Arial"/>
          <w:color w:val="0B0C0C"/>
          <w:szCs w:val="24"/>
          <w:lang w:eastAsia="en-GB"/>
        </w:rPr>
        <w:t> (“the 1999 Act”), provides that “A best value authority must make arrangements to secure continuous improvement in the way in which its functions are exercised, having regard to a combination of economy, efficiency and effectiveness”. The best value duty is relevant to local authority duties to deliver a balanced budget (Part 1 of the Local Government Finance Act 1992), provide statutory services (including adult social care and children’s services) and secure value for money in spending decisions. This will include decisions to make Special Severance Payments.</w:t>
      </w:r>
    </w:p>
    <w:p w14:paraId="2947407B" w14:textId="77777777" w:rsidR="00D32888" w:rsidRPr="00D32888" w:rsidRDefault="00D32888" w:rsidP="00B34B13">
      <w:pPr>
        <w:shd w:val="clear" w:color="auto" w:fill="FFFFFF"/>
        <w:spacing w:before="120" w:after="300"/>
        <w:rPr>
          <w:rFonts w:cs="Arial"/>
          <w:color w:val="0B0C0C"/>
          <w:szCs w:val="24"/>
          <w:lang w:eastAsia="en-GB"/>
        </w:rPr>
      </w:pPr>
      <w:r w:rsidRPr="00D32888">
        <w:rPr>
          <w:rFonts w:cs="Arial"/>
          <w:color w:val="0B0C0C"/>
          <w:szCs w:val="24"/>
          <w:lang w:eastAsia="en-GB"/>
        </w:rPr>
        <w:t>1.3 Authorities subject to the best value duty (termed “best value authorities”) are defined in section 1 of the 1999 Act. </w:t>
      </w:r>
      <w:hyperlink r:id="rId14" w:anchor="list-of-bodies-this-guidance-applies-to" w:history="1">
        <w:r w:rsidRPr="00D32888">
          <w:rPr>
            <w:rFonts w:cs="Arial"/>
            <w:color w:val="1D70B8"/>
            <w:szCs w:val="24"/>
            <w:u w:val="single"/>
            <w:lang w:eastAsia="en-GB"/>
          </w:rPr>
          <w:t>A list of these bodies can be found at the end of this guidance.</w:t>
        </w:r>
      </w:hyperlink>
    </w:p>
    <w:p w14:paraId="2D817CC3" w14:textId="77777777" w:rsidR="00D32888" w:rsidRPr="00D32888" w:rsidRDefault="00D32888" w:rsidP="00B34B13">
      <w:pPr>
        <w:shd w:val="clear" w:color="auto" w:fill="FFFFFF"/>
        <w:spacing w:before="120" w:after="300"/>
        <w:rPr>
          <w:rFonts w:cs="Arial"/>
          <w:color w:val="0B0C0C"/>
          <w:szCs w:val="24"/>
          <w:lang w:eastAsia="en-GB"/>
        </w:rPr>
      </w:pPr>
      <w:r w:rsidRPr="00D32888">
        <w:rPr>
          <w:rFonts w:cs="Arial"/>
          <w:color w:val="0B0C0C"/>
          <w:szCs w:val="24"/>
          <w:lang w:eastAsia="en-GB"/>
        </w:rPr>
        <w:t>1.4 This guidance also sets out the government’s position on the use of Special Severance Payments made by local authorities</w:t>
      </w:r>
      <w:r>
        <w:rPr>
          <w:rFonts w:cs="Arial"/>
          <w:color w:val="0B0C0C"/>
          <w:szCs w:val="24"/>
          <w:lang w:eastAsia="en-GB"/>
        </w:rPr>
        <w:t xml:space="preserve"> and is adopted as Gedling Borough Council’s local guidance for Special Severance Payments</w:t>
      </w:r>
      <w:r w:rsidRPr="00D32888">
        <w:rPr>
          <w:rFonts w:cs="Arial"/>
          <w:color w:val="0B0C0C"/>
          <w:szCs w:val="24"/>
          <w:lang w:eastAsia="en-GB"/>
        </w:rPr>
        <w:t>.</w:t>
      </w:r>
    </w:p>
    <w:p w14:paraId="5B9C02A8"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1.5 This guidance is issued under section 26 of the 1999 Act, the purpose of which is to:</w:t>
      </w:r>
    </w:p>
    <w:p w14:paraId="0B1EBB41" w14:textId="77777777" w:rsidR="00D32888" w:rsidRPr="00D32888" w:rsidRDefault="00D32888" w:rsidP="00D32888">
      <w:pPr>
        <w:numPr>
          <w:ilvl w:val="0"/>
          <w:numId w:val="45"/>
        </w:numPr>
        <w:shd w:val="clear" w:color="auto" w:fill="FFFFFF"/>
        <w:spacing w:after="75"/>
        <w:ind w:left="300"/>
        <w:rPr>
          <w:rFonts w:cs="Arial"/>
          <w:color w:val="0B0C0C"/>
          <w:szCs w:val="24"/>
          <w:lang w:eastAsia="en-GB"/>
        </w:rPr>
      </w:pPr>
      <w:r w:rsidRPr="00D32888">
        <w:rPr>
          <w:rFonts w:cs="Arial"/>
          <w:color w:val="0B0C0C"/>
          <w:szCs w:val="24"/>
          <w:lang w:eastAsia="en-GB"/>
        </w:rPr>
        <w:t xml:space="preserve">set out the government’s view that Special Severance Payments do not usually represent value for money and should only be considered in exceptional </w:t>
      </w:r>
      <w:proofErr w:type="gramStart"/>
      <w:r w:rsidRPr="00D32888">
        <w:rPr>
          <w:rFonts w:cs="Arial"/>
          <w:color w:val="0B0C0C"/>
          <w:szCs w:val="24"/>
          <w:lang w:eastAsia="en-GB"/>
        </w:rPr>
        <w:t>circumstances</w:t>
      </w:r>
      <w:proofErr w:type="gramEnd"/>
    </w:p>
    <w:p w14:paraId="35026662" w14:textId="77777777" w:rsidR="00D32888" w:rsidRPr="00D32888" w:rsidRDefault="00D32888" w:rsidP="00D32888">
      <w:pPr>
        <w:numPr>
          <w:ilvl w:val="0"/>
          <w:numId w:val="45"/>
        </w:numPr>
        <w:shd w:val="clear" w:color="auto" w:fill="FFFFFF"/>
        <w:spacing w:after="75"/>
        <w:ind w:left="300"/>
        <w:rPr>
          <w:rFonts w:cs="Arial"/>
          <w:color w:val="0B0C0C"/>
          <w:szCs w:val="24"/>
          <w:lang w:eastAsia="en-GB"/>
        </w:rPr>
      </w:pPr>
      <w:r w:rsidRPr="00D32888">
        <w:rPr>
          <w:rFonts w:cs="Arial"/>
          <w:color w:val="0B0C0C"/>
          <w:szCs w:val="24"/>
          <w:lang w:eastAsia="en-GB"/>
        </w:rPr>
        <w:t>set out the criteria employers should consider in the exceptional circumstances in which it may be appropriate to make a Special Severance Payment</w:t>
      </w:r>
    </w:p>
    <w:p w14:paraId="381E992A" w14:textId="77777777" w:rsidR="00D32888" w:rsidRPr="00D32888" w:rsidRDefault="00D32888" w:rsidP="00D32888">
      <w:pPr>
        <w:numPr>
          <w:ilvl w:val="0"/>
          <w:numId w:val="45"/>
        </w:numPr>
        <w:shd w:val="clear" w:color="auto" w:fill="FFFFFF"/>
        <w:spacing w:after="75"/>
        <w:ind w:left="300"/>
        <w:rPr>
          <w:rFonts w:cs="Arial"/>
          <w:color w:val="0B0C0C"/>
          <w:szCs w:val="24"/>
          <w:lang w:eastAsia="en-GB"/>
        </w:rPr>
      </w:pPr>
      <w:r w:rsidRPr="00D32888">
        <w:rPr>
          <w:rFonts w:cs="Arial"/>
          <w:color w:val="0B0C0C"/>
          <w:szCs w:val="24"/>
          <w:lang w:eastAsia="en-GB"/>
        </w:rPr>
        <w:t xml:space="preserve">give examples of the exceptional circumstances in which Special Severance Payments may be </w:t>
      </w:r>
      <w:proofErr w:type="gramStart"/>
      <w:r w:rsidRPr="00D32888">
        <w:rPr>
          <w:rFonts w:cs="Arial"/>
          <w:color w:val="0B0C0C"/>
          <w:szCs w:val="24"/>
          <w:lang w:eastAsia="en-GB"/>
        </w:rPr>
        <w:t>appropriate</w:t>
      </w:r>
      <w:proofErr w:type="gramEnd"/>
    </w:p>
    <w:p w14:paraId="08E6B8C0" w14:textId="77777777" w:rsidR="00D32888" w:rsidRPr="00D32888" w:rsidRDefault="00D32888" w:rsidP="00D32888">
      <w:pPr>
        <w:numPr>
          <w:ilvl w:val="0"/>
          <w:numId w:val="45"/>
        </w:numPr>
        <w:shd w:val="clear" w:color="auto" w:fill="FFFFFF"/>
        <w:spacing w:after="75"/>
        <w:ind w:left="300"/>
        <w:rPr>
          <w:rFonts w:cs="Arial"/>
          <w:color w:val="0B0C0C"/>
          <w:szCs w:val="24"/>
          <w:lang w:eastAsia="en-GB"/>
        </w:rPr>
      </w:pPr>
      <w:r w:rsidRPr="00D32888">
        <w:rPr>
          <w:rFonts w:cs="Arial"/>
          <w:color w:val="0B0C0C"/>
          <w:szCs w:val="24"/>
          <w:lang w:eastAsia="en-GB"/>
        </w:rPr>
        <w:t>clarify the disclosure and reporting requirements for Special Severance Payments</w:t>
      </w:r>
    </w:p>
    <w:p w14:paraId="164A6516"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1.6 Severance payments can be an important mechanism to allow employers to reform and react to new circumstances in the workplace, but employers have a responsibility to ensure that Special Severance Payments are only made when there is a clear, evidenced justification for doing so. They should also ensure that all relevant internal policies and procedures have been followed and all alternative actions have been fully explored and documented.</w:t>
      </w:r>
    </w:p>
    <w:p w14:paraId="3F14AD79" w14:textId="77777777" w:rsidR="00D32888" w:rsidRDefault="00D32888" w:rsidP="00B34B13">
      <w:pPr>
        <w:shd w:val="clear" w:color="auto" w:fill="FFFFFF"/>
        <w:spacing w:after="300"/>
        <w:rPr>
          <w:rFonts w:cs="Arial"/>
          <w:color w:val="0B0C0C"/>
          <w:szCs w:val="24"/>
          <w:lang w:eastAsia="en-GB"/>
        </w:rPr>
      </w:pPr>
      <w:r w:rsidRPr="00D32888">
        <w:rPr>
          <w:rFonts w:cs="Arial"/>
          <w:color w:val="0B0C0C"/>
          <w:szCs w:val="24"/>
          <w:lang w:eastAsia="en-GB"/>
        </w:rPr>
        <w:t>1.7 In the exceptional circumstances where it is decided that a Special Severance Payment should be paid, it is the responsibility of individual employers to ensure their Special Severance Payments arrangements are fair, proportionate, lawful and provide value for money for the taxpayer.</w:t>
      </w:r>
    </w:p>
    <w:p w14:paraId="174FC271" w14:textId="77777777" w:rsidR="00D32888" w:rsidRPr="00D32888" w:rsidRDefault="00D32888" w:rsidP="00D32888">
      <w:pPr>
        <w:shd w:val="clear" w:color="auto" w:fill="FFFFFF"/>
        <w:spacing w:before="300" w:after="300"/>
        <w:rPr>
          <w:rFonts w:cs="Arial"/>
          <w:b/>
          <w:bCs/>
          <w:color w:val="0B0C0C"/>
          <w:szCs w:val="24"/>
          <w:lang w:eastAsia="en-GB"/>
        </w:rPr>
      </w:pPr>
      <w:r w:rsidRPr="00D32888">
        <w:rPr>
          <w:rFonts w:cs="Arial"/>
          <w:b/>
          <w:bCs/>
          <w:color w:val="0B0C0C"/>
          <w:szCs w:val="24"/>
          <w:lang w:eastAsia="en-GB"/>
        </w:rPr>
        <w:t>2. What is a special severance payment?</w:t>
      </w:r>
    </w:p>
    <w:p w14:paraId="69E32777" w14:textId="77777777" w:rsidR="00D32888" w:rsidRPr="00D32888" w:rsidRDefault="00D32888" w:rsidP="00B34B13">
      <w:pPr>
        <w:shd w:val="clear" w:color="auto" w:fill="FFFFFF"/>
        <w:spacing w:after="300"/>
        <w:rPr>
          <w:rFonts w:cs="Arial"/>
          <w:color w:val="0B0C0C"/>
          <w:szCs w:val="24"/>
          <w:lang w:eastAsia="en-GB"/>
        </w:rPr>
      </w:pPr>
      <w:r w:rsidRPr="00D32888">
        <w:rPr>
          <w:rFonts w:cs="Arial"/>
          <w:color w:val="0B0C0C"/>
          <w:szCs w:val="24"/>
          <w:lang w:eastAsia="en-GB"/>
        </w:rPr>
        <w:t xml:space="preserve">2.1 In the context of this guidance, Special Severance Payments are payments made to employees, officeholders, workers, contractors, and others outside of statutory, </w:t>
      </w:r>
      <w:proofErr w:type="gramStart"/>
      <w:r w:rsidRPr="00D32888">
        <w:rPr>
          <w:rFonts w:cs="Arial"/>
          <w:color w:val="0B0C0C"/>
          <w:szCs w:val="24"/>
          <w:lang w:eastAsia="en-GB"/>
        </w:rPr>
        <w:t>contractual</w:t>
      </w:r>
      <w:proofErr w:type="gramEnd"/>
      <w:r w:rsidRPr="00D32888">
        <w:rPr>
          <w:rFonts w:cs="Arial"/>
          <w:color w:val="0B0C0C"/>
          <w:szCs w:val="24"/>
          <w:lang w:eastAsia="en-GB"/>
        </w:rPr>
        <w:t xml:space="preserve"> or other requirements when leaving employment in public service. Employers may sometimes consider making such a payment in situations where the individual concerned resigns, is dismissed, or agrees a termination of contract. Which types of payments are Special Severance Payments will vary according to an employee’s particular circumstances, and therefore the examples below are illustrative only.</w:t>
      </w:r>
    </w:p>
    <w:p w14:paraId="4A6DE5D5" w14:textId="77777777" w:rsidR="00D32888" w:rsidRPr="00D32888" w:rsidRDefault="00D32888" w:rsidP="00B34B13">
      <w:pPr>
        <w:shd w:val="clear" w:color="auto" w:fill="FFFFFF"/>
        <w:spacing w:after="240"/>
        <w:rPr>
          <w:rFonts w:cs="Arial"/>
          <w:color w:val="0B0C0C"/>
          <w:szCs w:val="24"/>
          <w:lang w:eastAsia="en-GB"/>
        </w:rPr>
      </w:pPr>
      <w:r w:rsidRPr="00D32888">
        <w:rPr>
          <w:rFonts w:cs="Arial"/>
          <w:color w:val="0B0C0C"/>
          <w:szCs w:val="24"/>
          <w:lang w:eastAsia="en-GB"/>
        </w:rPr>
        <w:t>2.2 It is established case-law</w:t>
      </w:r>
      <w:hyperlink r:id="rId15" w:anchor="fn:1" w:history="1">
        <w:r w:rsidRPr="00D32888">
          <w:rPr>
            <w:rFonts w:cs="Arial"/>
            <w:color w:val="1D70B8"/>
            <w:szCs w:val="24"/>
            <w:u w:val="single"/>
            <w:vertAlign w:val="superscript"/>
            <w:lang w:eastAsia="en-GB"/>
          </w:rPr>
          <w:t>[footnote 1]</w:t>
        </w:r>
      </w:hyperlink>
      <w:r w:rsidRPr="00D32888">
        <w:rPr>
          <w:rFonts w:cs="Arial"/>
          <w:color w:val="0B0C0C"/>
          <w:szCs w:val="24"/>
          <w:lang w:eastAsia="en-GB"/>
        </w:rPr>
        <w:t> that such payments, where in accordance with legislation, may only be made where there is a convincing case that they are in the interests of taxpayers. Local authorities may not be generous at the expense of taxpayers and must genuinely consider payments to be in the public interest. In taking decisions elected members must make all proper enquiries and consider all available material that can help in coming to a decision.</w:t>
      </w:r>
    </w:p>
    <w:p w14:paraId="751701E7"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2.3 The following types of payments are likely to constitute Special Severance Payments:</w:t>
      </w:r>
    </w:p>
    <w:p w14:paraId="0EB0FFD8"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a) any payments reached under a settlement agreement between the employer and employee to discontinue legal proceedings without admission of fault</w:t>
      </w:r>
    </w:p>
    <w:p w14:paraId="3753BDF0"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b) the value of any employee benefits or allowances which are allowed to continue beyond the employee’s agreed exit date</w:t>
      </w:r>
    </w:p>
    <w:p w14:paraId="22AA6A12"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c) write-offs of any outstanding loans</w:t>
      </w:r>
    </w:p>
    <w:p w14:paraId="7EB3EBC2"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d) any honorarium payments</w:t>
      </w:r>
    </w:p>
    <w:p w14:paraId="57686CA8"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e) any hardship payments</w:t>
      </w:r>
    </w:p>
    <w:p w14:paraId="5C1D5A8C"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f) any payments to employees for retraining related to their termination of employment</w:t>
      </w:r>
    </w:p>
    <w:p w14:paraId="6D278DD0"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2.4 The following types of payments may constitute Special Severance Payments, depending on the terms of the individual’s contract, relevant statutory provisions, any non-statutory applicable schemes and other relevant terms and conditions:</w:t>
      </w:r>
    </w:p>
    <w:p w14:paraId="2178666A"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a) pay or compensation in lieu of notice where the amount of the payment is not greater than the salary due in the period of notice set out in the employee’s contract</w:t>
      </w:r>
    </w:p>
    <w:p w14:paraId="22FDC21B"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b) pension strain payments arising from employer discretions to enhance standard pension benefits (for example under Regulation 30(5) where the employer has waived the reduction under Regulation 30(8) or because of the award of additional pension under Regulation 31)</w:t>
      </w:r>
    </w:p>
    <w:p w14:paraId="7C0C583A" w14:textId="77777777" w:rsidR="00D32888" w:rsidRPr="00D32888" w:rsidRDefault="00D32888" w:rsidP="00B34B13">
      <w:pPr>
        <w:shd w:val="clear" w:color="auto" w:fill="FFFFFF"/>
        <w:spacing w:before="360"/>
        <w:rPr>
          <w:rFonts w:cs="Arial"/>
          <w:color w:val="0B0C0C"/>
          <w:szCs w:val="24"/>
          <w:lang w:eastAsia="en-GB"/>
        </w:rPr>
      </w:pPr>
      <w:r w:rsidRPr="00D32888">
        <w:rPr>
          <w:rFonts w:cs="Arial"/>
          <w:color w:val="0B0C0C"/>
          <w:szCs w:val="24"/>
          <w:lang w:eastAsia="en-GB"/>
        </w:rPr>
        <w:t>2.5 The following do not constitute Special Severance Payments:</w:t>
      </w:r>
    </w:p>
    <w:p w14:paraId="00A1A1C9"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a) statutory redundancy payments</w:t>
      </w:r>
    </w:p>
    <w:p w14:paraId="53C8411C"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b) contractual redundancy payments, whether applicable to voluntary or compulsory redundancy, and whether agreed by collective agreement or otherwise</w:t>
      </w:r>
    </w:p>
    <w:p w14:paraId="4476A5A4"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c) severance payments made in accordance with that local authority’s policy adopted pursuant to Regulation 7 of the Local Government (Early Termination of Employment) (Discretionary Compensation) (England and Wales) Regulations 2006</w:t>
      </w:r>
    </w:p>
    <w:p w14:paraId="16BD5B0C"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d) a strain cost paid to the relevant LGPS administering authority under LGPS Regulation 68(2) which results from a LGPS member’s retirement benefits becoming immediately payable without reduction under Regulation 30(7), or under Regulation 30(6) where the employer has waived the reduction under Regulation 30(8)</w:t>
      </w:r>
    </w:p>
    <w:p w14:paraId="795AA65C"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e) payment for untaken annual leave</w:t>
      </w:r>
    </w:p>
    <w:p w14:paraId="25AD10CF"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f) payments ordered by a court or tribunal or agreed as part of a judicial or non-judicial mediation</w:t>
      </w:r>
    </w:p>
    <w:p w14:paraId="7B6A9290"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g) payments made as part of the ACAS Early Conciliation process</w:t>
      </w:r>
    </w:p>
    <w:p w14:paraId="42859573" w14:textId="77777777" w:rsidR="00D32888" w:rsidRPr="00D32888" w:rsidRDefault="00D32888" w:rsidP="00B34B13">
      <w:pPr>
        <w:shd w:val="clear" w:color="auto" w:fill="FFFFFF"/>
        <w:spacing w:before="120"/>
        <w:rPr>
          <w:rFonts w:cs="Arial"/>
          <w:color w:val="0B0C0C"/>
          <w:szCs w:val="24"/>
          <w:lang w:eastAsia="en-GB"/>
        </w:rPr>
      </w:pPr>
      <w:r w:rsidRPr="00D32888">
        <w:rPr>
          <w:rFonts w:cs="Arial"/>
          <w:color w:val="0B0C0C"/>
          <w:szCs w:val="24"/>
          <w:lang w:eastAsia="en-GB"/>
        </w:rPr>
        <w:t>h) payments made to compensate for injury or death of the worker</w:t>
      </w:r>
    </w:p>
    <w:p w14:paraId="19C32F6D" w14:textId="77777777" w:rsidR="00D32888" w:rsidRPr="00D32888" w:rsidRDefault="00D32888" w:rsidP="00B34B13">
      <w:pPr>
        <w:shd w:val="clear" w:color="auto" w:fill="FFFFFF"/>
        <w:spacing w:before="120"/>
        <w:rPr>
          <w:rFonts w:cs="Arial"/>
          <w:color w:val="0B0C0C"/>
          <w:szCs w:val="24"/>
          <w:lang w:eastAsia="en-GB"/>
        </w:rPr>
      </w:pPr>
      <w:proofErr w:type="spellStart"/>
      <w:r w:rsidRPr="00D32888">
        <w:rPr>
          <w:rFonts w:cs="Arial"/>
          <w:color w:val="0B0C0C"/>
          <w:szCs w:val="24"/>
          <w:lang w:eastAsia="en-GB"/>
        </w:rPr>
        <w:t>i</w:t>
      </w:r>
      <w:proofErr w:type="spellEnd"/>
      <w:r w:rsidRPr="00D32888">
        <w:rPr>
          <w:rFonts w:cs="Arial"/>
          <w:color w:val="0B0C0C"/>
          <w:szCs w:val="24"/>
          <w:lang w:eastAsia="en-GB"/>
        </w:rPr>
        <w:t>) payments made in consequence of the award of ill-health retirement benefits under Regulation 35 of the LGPS Regulations</w:t>
      </w:r>
    </w:p>
    <w:p w14:paraId="6FFF297C" w14:textId="77777777" w:rsidR="00D32888" w:rsidRPr="00D32888" w:rsidRDefault="00D32888" w:rsidP="00B34B13">
      <w:pPr>
        <w:shd w:val="clear" w:color="auto" w:fill="FFFFFF"/>
        <w:spacing w:before="480"/>
        <w:outlineLvl w:val="1"/>
        <w:rPr>
          <w:rFonts w:cs="Arial"/>
          <w:b/>
          <w:bCs/>
          <w:color w:val="0B0C0C"/>
          <w:szCs w:val="24"/>
          <w:lang w:eastAsia="en-GB"/>
        </w:rPr>
      </w:pPr>
      <w:r w:rsidRPr="00D32888">
        <w:rPr>
          <w:rFonts w:cs="Arial"/>
          <w:b/>
          <w:bCs/>
          <w:color w:val="0B0C0C"/>
          <w:szCs w:val="24"/>
          <w:lang w:eastAsia="en-GB"/>
        </w:rPr>
        <w:t>3. Considerations for local authorities on potential Special Severance Payments</w:t>
      </w:r>
    </w:p>
    <w:p w14:paraId="2AE75F6D"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3.1 This chapter provides guidance on relevant considerations for English local authorities in relation to making Special Severance Payments.</w:t>
      </w:r>
    </w:p>
    <w:p w14:paraId="0944A94D" w14:textId="77777777" w:rsidR="00D32888" w:rsidRPr="00D32888" w:rsidRDefault="00D32888" w:rsidP="00B34B13">
      <w:pPr>
        <w:shd w:val="clear" w:color="auto" w:fill="FFFFFF"/>
        <w:spacing w:before="120" w:after="120"/>
        <w:rPr>
          <w:rFonts w:cs="Arial"/>
          <w:color w:val="0B0C0C"/>
          <w:szCs w:val="24"/>
          <w:lang w:eastAsia="en-GB"/>
        </w:rPr>
      </w:pPr>
      <w:r w:rsidRPr="00D32888">
        <w:rPr>
          <w:rFonts w:cs="Arial"/>
          <w:color w:val="0B0C0C"/>
          <w:szCs w:val="24"/>
          <w:lang w:eastAsia="en-GB"/>
        </w:rPr>
        <w:t>3.2 Local authorities must comply with the duty of Best Value explained in the introduction. In considering whether it is appropriate to make a Special Severance Payment, the government expects local authorities to consider whether such a payment would be a proper use of public money. Local authorities should also monitor and review their policies on the award of special severance payments to ensure that they are also consistent with their Public Sector Equality Duty under the Equality Act 2010.</w:t>
      </w:r>
    </w:p>
    <w:p w14:paraId="2A1F9424" w14:textId="77777777" w:rsidR="00D32888" w:rsidRPr="00D32888" w:rsidRDefault="00D32888" w:rsidP="00B34B13">
      <w:pPr>
        <w:shd w:val="clear" w:color="auto" w:fill="FFFFFF"/>
        <w:spacing w:before="360"/>
        <w:outlineLvl w:val="2"/>
        <w:rPr>
          <w:rFonts w:cs="Arial"/>
          <w:b/>
          <w:bCs/>
          <w:color w:val="0B0C0C"/>
          <w:szCs w:val="24"/>
          <w:lang w:eastAsia="en-GB"/>
        </w:rPr>
      </w:pPr>
      <w:r w:rsidRPr="00D32888">
        <w:rPr>
          <w:rFonts w:cs="Arial"/>
          <w:b/>
          <w:bCs/>
          <w:color w:val="0B0C0C"/>
          <w:szCs w:val="24"/>
          <w:lang w:eastAsia="en-GB"/>
        </w:rPr>
        <w:t>Economy</w:t>
      </w:r>
    </w:p>
    <w:p w14:paraId="1882E027"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3.3 Local authorities should be able to demonstrate their economic rationale behind proposed Special Severance Payments including consideration of:</w:t>
      </w:r>
    </w:p>
    <w:p w14:paraId="6FDDFF0C" w14:textId="77777777" w:rsidR="00D32888" w:rsidRPr="00D32888" w:rsidRDefault="00D32888" w:rsidP="00D32888">
      <w:pPr>
        <w:numPr>
          <w:ilvl w:val="0"/>
          <w:numId w:val="46"/>
        </w:numPr>
        <w:shd w:val="clear" w:color="auto" w:fill="FFFFFF"/>
        <w:spacing w:after="75"/>
        <w:ind w:left="300"/>
        <w:rPr>
          <w:rFonts w:cs="Arial"/>
          <w:color w:val="0B0C0C"/>
          <w:szCs w:val="24"/>
          <w:lang w:eastAsia="en-GB"/>
        </w:rPr>
      </w:pPr>
      <w:r w:rsidRPr="00D32888">
        <w:rPr>
          <w:rFonts w:cs="Arial"/>
          <w:color w:val="0B0C0C"/>
          <w:szCs w:val="24"/>
          <w:lang w:eastAsia="en-GB"/>
        </w:rPr>
        <w:t xml:space="preserve">Whether there is any feasible possibility of exiting the individual at a lower cost. Only where there is no such possibility should a Special Severance Payment be </w:t>
      </w:r>
      <w:proofErr w:type="gramStart"/>
      <w:r w:rsidRPr="00D32888">
        <w:rPr>
          <w:rFonts w:cs="Arial"/>
          <w:color w:val="0B0C0C"/>
          <w:szCs w:val="24"/>
          <w:lang w:eastAsia="en-GB"/>
        </w:rPr>
        <w:t>considered</w:t>
      </w:r>
      <w:proofErr w:type="gramEnd"/>
    </w:p>
    <w:p w14:paraId="328E691E" w14:textId="77777777" w:rsidR="00D32888" w:rsidRPr="00D32888" w:rsidRDefault="00D32888" w:rsidP="00D32888">
      <w:pPr>
        <w:numPr>
          <w:ilvl w:val="0"/>
          <w:numId w:val="46"/>
        </w:numPr>
        <w:shd w:val="clear" w:color="auto" w:fill="FFFFFF"/>
        <w:spacing w:after="75"/>
        <w:ind w:left="300"/>
        <w:rPr>
          <w:rFonts w:cs="Arial"/>
          <w:color w:val="0B0C0C"/>
          <w:szCs w:val="24"/>
          <w:lang w:eastAsia="en-GB"/>
        </w:rPr>
      </w:pPr>
      <w:r w:rsidRPr="00D32888">
        <w:rPr>
          <w:rFonts w:cs="Arial"/>
          <w:color w:val="0B0C0C"/>
          <w:szCs w:val="24"/>
          <w:lang w:eastAsia="en-GB"/>
        </w:rPr>
        <w:t>How the exit payment will be perceived by the public and whether it is in line with the duty to manage taxpayers’ money appropriately</w:t>
      </w:r>
    </w:p>
    <w:p w14:paraId="1C63842F" w14:textId="77777777" w:rsidR="00D32888" w:rsidRPr="00D32888" w:rsidRDefault="00D32888" w:rsidP="00D32888">
      <w:pPr>
        <w:numPr>
          <w:ilvl w:val="0"/>
          <w:numId w:val="46"/>
        </w:numPr>
        <w:shd w:val="clear" w:color="auto" w:fill="FFFFFF"/>
        <w:spacing w:after="75"/>
        <w:ind w:left="300"/>
        <w:rPr>
          <w:rFonts w:cs="Arial"/>
          <w:color w:val="0B0C0C"/>
          <w:szCs w:val="24"/>
          <w:lang w:eastAsia="en-GB"/>
        </w:rPr>
      </w:pPr>
      <w:r w:rsidRPr="00D32888">
        <w:rPr>
          <w:rFonts w:cs="Arial"/>
          <w:color w:val="0B0C0C"/>
          <w:szCs w:val="24"/>
          <w:lang w:eastAsia="en-GB"/>
        </w:rPr>
        <w:t xml:space="preserve">What alternative use could be made of that expenditure. All Special Severance Payments necessarily reduce the funds that would otherwise be available to deliver important public </w:t>
      </w:r>
      <w:proofErr w:type="gramStart"/>
      <w:r w:rsidRPr="00D32888">
        <w:rPr>
          <w:rFonts w:cs="Arial"/>
          <w:color w:val="0B0C0C"/>
          <w:szCs w:val="24"/>
          <w:lang w:eastAsia="en-GB"/>
        </w:rPr>
        <w:t>services</w:t>
      </w:r>
      <w:proofErr w:type="gramEnd"/>
    </w:p>
    <w:p w14:paraId="30D2C236" w14:textId="77777777" w:rsidR="00D32888" w:rsidRPr="00D32888" w:rsidRDefault="00D32888" w:rsidP="00D32888">
      <w:pPr>
        <w:numPr>
          <w:ilvl w:val="0"/>
          <w:numId w:val="46"/>
        </w:numPr>
        <w:shd w:val="clear" w:color="auto" w:fill="FFFFFF"/>
        <w:spacing w:after="75"/>
        <w:ind w:left="300"/>
        <w:rPr>
          <w:rFonts w:cs="Arial"/>
          <w:color w:val="0B0C0C"/>
          <w:szCs w:val="24"/>
          <w:lang w:eastAsia="en-GB"/>
        </w:rPr>
      </w:pPr>
      <w:r w:rsidRPr="00D32888">
        <w:rPr>
          <w:rFonts w:cs="Arial"/>
          <w:color w:val="0B0C0C"/>
          <w:szCs w:val="24"/>
          <w:lang w:eastAsia="en-GB"/>
        </w:rPr>
        <w:t>The setting of any potential precedent (e.g. where a Special Severance Payment is made to certain employees and not others)</w:t>
      </w:r>
    </w:p>
    <w:p w14:paraId="207161DE" w14:textId="77777777" w:rsidR="00D32888" w:rsidRPr="00D32888" w:rsidRDefault="00D32888" w:rsidP="00D32888">
      <w:pPr>
        <w:numPr>
          <w:ilvl w:val="0"/>
          <w:numId w:val="46"/>
        </w:numPr>
        <w:shd w:val="clear" w:color="auto" w:fill="FFFFFF"/>
        <w:spacing w:after="75"/>
        <w:ind w:left="300"/>
        <w:rPr>
          <w:rFonts w:cs="Arial"/>
          <w:color w:val="0B0C0C"/>
          <w:szCs w:val="24"/>
          <w:lang w:eastAsia="en-GB"/>
        </w:rPr>
      </w:pPr>
      <w:r w:rsidRPr="00D32888">
        <w:rPr>
          <w:rFonts w:cs="Arial"/>
          <w:color w:val="0B0C0C"/>
          <w:szCs w:val="24"/>
          <w:lang w:eastAsia="en-GB"/>
        </w:rPr>
        <w:t xml:space="preserve">Evidence for additionality i.e. that those offered Special Severance Payments would not have been willing, under any circumstances, to leave with their statutory and contractual benefits </w:t>
      </w:r>
      <w:proofErr w:type="gramStart"/>
      <w:r w:rsidRPr="00D32888">
        <w:rPr>
          <w:rFonts w:cs="Arial"/>
          <w:color w:val="0B0C0C"/>
          <w:szCs w:val="24"/>
          <w:lang w:eastAsia="en-GB"/>
        </w:rPr>
        <w:t>alone</w:t>
      </w:r>
      <w:proofErr w:type="gramEnd"/>
    </w:p>
    <w:p w14:paraId="38C449BB" w14:textId="77777777" w:rsidR="00D32888" w:rsidRPr="00D32888" w:rsidRDefault="00D32888" w:rsidP="00B34B13">
      <w:pPr>
        <w:shd w:val="clear" w:color="auto" w:fill="FFFFFF"/>
        <w:spacing w:before="480"/>
        <w:outlineLvl w:val="2"/>
        <w:rPr>
          <w:rFonts w:cs="Arial"/>
          <w:b/>
          <w:bCs/>
          <w:color w:val="0B0C0C"/>
          <w:szCs w:val="24"/>
          <w:lang w:eastAsia="en-GB"/>
        </w:rPr>
      </w:pPr>
      <w:r w:rsidRPr="00D32888">
        <w:rPr>
          <w:rFonts w:cs="Arial"/>
          <w:b/>
          <w:bCs/>
          <w:color w:val="0B0C0C"/>
          <w:szCs w:val="24"/>
          <w:lang w:eastAsia="en-GB"/>
        </w:rPr>
        <w:t>Efficiency and effectiveness</w:t>
      </w:r>
    </w:p>
    <w:p w14:paraId="5D4D5ABB"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3.4 In considering the impact of Special Severance Payments on efficiency and effectiveness, local authorities should:</w:t>
      </w:r>
    </w:p>
    <w:p w14:paraId="7B9EA2EE" w14:textId="77777777" w:rsidR="00D32888" w:rsidRPr="00D32888" w:rsidRDefault="00D32888" w:rsidP="00D32888">
      <w:pPr>
        <w:numPr>
          <w:ilvl w:val="0"/>
          <w:numId w:val="47"/>
        </w:numPr>
        <w:shd w:val="clear" w:color="auto" w:fill="FFFFFF"/>
        <w:spacing w:after="75"/>
        <w:ind w:left="300"/>
        <w:rPr>
          <w:rFonts w:cs="Arial"/>
          <w:color w:val="0B0C0C"/>
          <w:szCs w:val="24"/>
          <w:lang w:eastAsia="en-GB"/>
        </w:rPr>
      </w:pPr>
      <w:r w:rsidRPr="00D32888">
        <w:rPr>
          <w:rFonts w:cs="Arial"/>
          <w:color w:val="0B0C0C"/>
          <w:szCs w:val="24"/>
          <w:lang w:eastAsia="en-GB"/>
        </w:rPr>
        <w:t>Seek legal advice on the prospects of successfully defending an Employment Tribunal claim (or claim to any other court or tribunal with jurisdiction), if an employee were to take a legal route to appeal any grounds of their employment being terminated. The chance of success and the costs likely to be incurred should be noted and weighed up against the costs of making a Special Severance Payment</w:t>
      </w:r>
    </w:p>
    <w:p w14:paraId="0FDD6CFD" w14:textId="77777777" w:rsidR="00D32888" w:rsidRPr="00D32888" w:rsidRDefault="00D32888" w:rsidP="00D32888">
      <w:pPr>
        <w:numPr>
          <w:ilvl w:val="0"/>
          <w:numId w:val="47"/>
        </w:numPr>
        <w:shd w:val="clear" w:color="auto" w:fill="FFFFFF"/>
        <w:spacing w:after="75"/>
        <w:ind w:left="300"/>
        <w:rPr>
          <w:rFonts w:cs="Arial"/>
          <w:color w:val="0B0C0C"/>
          <w:szCs w:val="24"/>
          <w:lang w:eastAsia="en-GB"/>
        </w:rPr>
      </w:pPr>
      <w:r w:rsidRPr="00D32888">
        <w:rPr>
          <w:rFonts w:cs="Arial"/>
          <w:color w:val="0B0C0C"/>
          <w:szCs w:val="24"/>
          <w:lang w:eastAsia="en-GB"/>
        </w:rPr>
        <w:t xml:space="preserve">Ensure that these payments are not used to avoid management action, disciplinary processes, unwelcome publicity or avoidance of </w:t>
      </w:r>
      <w:proofErr w:type="gramStart"/>
      <w:r w:rsidRPr="00D32888">
        <w:rPr>
          <w:rFonts w:cs="Arial"/>
          <w:color w:val="0B0C0C"/>
          <w:szCs w:val="24"/>
          <w:lang w:eastAsia="en-GB"/>
        </w:rPr>
        <w:t>embarrassment</w:t>
      </w:r>
      <w:proofErr w:type="gramEnd"/>
    </w:p>
    <w:p w14:paraId="3CAAE85F" w14:textId="77777777" w:rsidR="00D32888" w:rsidRPr="00D32888" w:rsidRDefault="00D32888" w:rsidP="00D32888">
      <w:pPr>
        <w:numPr>
          <w:ilvl w:val="0"/>
          <w:numId w:val="47"/>
        </w:numPr>
        <w:shd w:val="clear" w:color="auto" w:fill="FFFFFF"/>
        <w:spacing w:after="75"/>
        <w:ind w:left="300"/>
        <w:rPr>
          <w:rFonts w:cs="Arial"/>
          <w:color w:val="0B0C0C"/>
          <w:szCs w:val="24"/>
          <w:lang w:eastAsia="en-GB"/>
        </w:rPr>
      </w:pPr>
      <w:r w:rsidRPr="00D32888">
        <w:rPr>
          <w:rFonts w:cs="Arial"/>
          <w:color w:val="0B0C0C"/>
          <w:szCs w:val="24"/>
          <w:lang w:eastAsia="en-GB"/>
        </w:rPr>
        <w:t xml:space="preserve">Consider aligning with private sector practice, where payments are typically less generous. This is important given the added duty in the public sector to prudently manage taxpayers’ </w:t>
      </w:r>
      <w:proofErr w:type="gramStart"/>
      <w:r w:rsidRPr="00D32888">
        <w:rPr>
          <w:rFonts w:cs="Arial"/>
          <w:color w:val="0B0C0C"/>
          <w:szCs w:val="24"/>
          <w:lang w:eastAsia="en-GB"/>
        </w:rPr>
        <w:t>money</w:t>
      </w:r>
      <w:proofErr w:type="gramEnd"/>
    </w:p>
    <w:p w14:paraId="03A162C7" w14:textId="77777777" w:rsidR="00D32888" w:rsidRPr="00D32888" w:rsidRDefault="00D32888" w:rsidP="00D32888">
      <w:pPr>
        <w:numPr>
          <w:ilvl w:val="0"/>
          <w:numId w:val="47"/>
        </w:numPr>
        <w:shd w:val="clear" w:color="auto" w:fill="FFFFFF"/>
        <w:spacing w:after="75"/>
        <w:ind w:left="300"/>
        <w:rPr>
          <w:rFonts w:cs="Arial"/>
          <w:color w:val="0B0C0C"/>
          <w:szCs w:val="24"/>
          <w:lang w:eastAsia="en-GB"/>
        </w:rPr>
      </w:pPr>
      <w:r w:rsidRPr="00D32888">
        <w:rPr>
          <w:rFonts w:cs="Arial"/>
          <w:color w:val="0B0C0C"/>
          <w:szCs w:val="24"/>
          <w:lang w:eastAsia="en-GB"/>
        </w:rPr>
        <w:t xml:space="preserve">Manage conflicts of interest to ensure that individuals who are the subject of complaints play absolutely no role in deciding whether those complaints should be settled by making an award to the complainant from public </w:t>
      </w:r>
      <w:proofErr w:type="gramStart"/>
      <w:r w:rsidRPr="00D32888">
        <w:rPr>
          <w:rFonts w:cs="Arial"/>
          <w:color w:val="0B0C0C"/>
          <w:szCs w:val="24"/>
          <w:lang w:eastAsia="en-GB"/>
        </w:rPr>
        <w:t>funds</w:t>
      </w:r>
      <w:proofErr w:type="gramEnd"/>
    </w:p>
    <w:p w14:paraId="61570CBC" w14:textId="77777777" w:rsidR="00D32888" w:rsidRPr="00D32888" w:rsidRDefault="00D32888" w:rsidP="00B34B13">
      <w:pPr>
        <w:shd w:val="clear" w:color="auto" w:fill="FFFFFF"/>
        <w:spacing w:before="600"/>
        <w:outlineLvl w:val="1"/>
        <w:rPr>
          <w:rFonts w:cs="Arial"/>
          <w:b/>
          <w:bCs/>
          <w:color w:val="0B0C0C"/>
          <w:szCs w:val="24"/>
          <w:lang w:eastAsia="en-GB"/>
        </w:rPr>
      </w:pPr>
      <w:r w:rsidRPr="00D32888">
        <w:rPr>
          <w:rFonts w:cs="Arial"/>
          <w:b/>
          <w:bCs/>
          <w:color w:val="0B0C0C"/>
          <w:szCs w:val="24"/>
          <w:lang w:eastAsia="en-GB"/>
        </w:rPr>
        <w:t>4. Exceptional circumstances in which it may be appropriate to consider making Special Severance Payments</w:t>
      </w:r>
    </w:p>
    <w:p w14:paraId="63907B16"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 xml:space="preserve">4.1 There may be exceptional circumstances where the existing statutory or contractual entitlements, or both, are insufficient to facilitate an exit or to offer sufficient compensation for loss of employment or office. This can apply to office holders as well as staff. These circumstances, which we expect to be exceptional and provide value for money, may be </w:t>
      </w:r>
      <w:proofErr w:type="gramStart"/>
      <w:r w:rsidRPr="00D32888">
        <w:rPr>
          <w:rFonts w:cs="Arial"/>
          <w:color w:val="0B0C0C"/>
          <w:szCs w:val="24"/>
          <w:lang w:eastAsia="en-GB"/>
        </w:rPr>
        <w:t>taken into account</w:t>
      </w:r>
      <w:proofErr w:type="gramEnd"/>
      <w:r w:rsidRPr="00D32888">
        <w:rPr>
          <w:rFonts w:cs="Arial"/>
          <w:color w:val="0B0C0C"/>
          <w:szCs w:val="24"/>
          <w:lang w:eastAsia="en-GB"/>
        </w:rPr>
        <w:t xml:space="preserve"> by local authorities in deciding whether or not to make a Special Severance Payment.</w:t>
      </w:r>
    </w:p>
    <w:p w14:paraId="38CEDF52" w14:textId="77777777" w:rsidR="00D32888" w:rsidRPr="00D32888" w:rsidRDefault="00D32888" w:rsidP="00B34B13">
      <w:pPr>
        <w:shd w:val="clear" w:color="auto" w:fill="FFFFFF"/>
        <w:spacing w:before="120" w:after="300"/>
        <w:rPr>
          <w:rFonts w:cs="Arial"/>
          <w:color w:val="0B0C0C"/>
          <w:szCs w:val="24"/>
          <w:lang w:eastAsia="en-GB"/>
        </w:rPr>
      </w:pPr>
      <w:r w:rsidRPr="00D32888">
        <w:rPr>
          <w:rFonts w:cs="Arial"/>
          <w:color w:val="0B0C0C"/>
          <w:szCs w:val="24"/>
          <w:lang w:eastAsia="en-GB"/>
        </w:rPr>
        <w:t xml:space="preserve">4.2 Authorities may consider a Special Severance Payment </w:t>
      </w:r>
      <w:proofErr w:type="gramStart"/>
      <w:r w:rsidRPr="00D32888">
        <w:rPr>
          <w:rFonts w:cs="Arial"/>
          <w:color w:val="0B0C0C"/>
          <w:szCs w:val="24"/>
          <w:lang w:eastAsia="en-GB"/>
        </w:rPr>
        <w:t>in order to</w:t>
      </w:r>
      <w:proofErr w:type="gramEnd"/>
      <w:r w:rsidRPr="00D32888">
        <w:rPr>
          <w:rFonts w:cs="Arial"/>
          <w:color w:val="0B0C0C"/>
          <w:szCs w:val="24"/>
          <w:lang w:eastAsia="en-GB"/>
        </w:rPr>
        <w:t xml:space="preserve"> set aside what would otherwise be a reduction in entitlement caused by a break in continuity of service (e.g. where a member of staff has taken a break in service to accompany their spouse on military service overseas). Authorities may also consider that a Special Severance Payment is appropriate in circumstances where, to help recruitment and retention, it has resolved to recognise for severance payment calculation purposes past service with another non-Modification Order employer (such as service with the NHS prior to the transfer of public health functions to local government)</w:t>
      </w:r>
      <w:hyperlink r:id="rId16" w:anchor="fn:2" w:history="1">
        <w:r w:rsidRPr="00D32888">
          <w:rPr>
            <w:rFonts w:cs="Arial"/>
            <w:color w:val="1D70B8"/>
            <w:szCs w:val="24"/>
            <w:u w:val="single"/>
            <w:vertAlign w:val="superscript"/>
            <w:lang w:eastAsia="en-GB"/>
          </w:rPr>
          <w:t>[footnote 2]</w:t>
        </w:r>
      </w:hyperlink>
      <w:r w:rsidRPr="00D32888">
        <w:rPr>
          <w:rFonts w:cs="Arial"/>
          <w:color w:val="0B0C0C"/>
          <w:szCs w:val="24"/>
          <w:lang w:eastAsia="en-GB"/>
        </w:rPr>
        <w:t>.</w:t>
      </w:r>
    </w:p>
    <w:p w14:paraId="735A2EF1" w14:textId="77777777" w:rsidR="00D32888" w:rsidRPr="00D32888" w:rsidRDefault="00D32888" w:rsidP="00B34B13">
      <w:pPr>
        <w:shd w:val="clear" w:color="auto" w:fill="FFFFFF"/>
        <w:spacing w:before="120" w:after="300"/>
        <w:rPr>
          <w:rFonts w:cs="Arial"/>
          <w:color w:val="0B0C0C"/>
          <w:szCs w:val="24"/>
          <w:lang w:eastAsia="en-GB"/>
        </w:rPr>
      </w:pPr>
      <w:r w:rsidRPr="00D32888">
        <w:rPr>
          <w:rFonts w:cs="Arial"/>
          <w:color w:val="0B0C0C"/>
          <w:szCs w:val="24"/>
          <w:lang w:eastAsia="en-GB"/>
        </w:rPr>
        <w:t xml:space="preserve">4.3 Authorities may also consider a Special Severance Payment </w:t>
      </w:r>
      <w:proofErr w:type="gramStart"/>
      <w:r w:rsidRPr="00D32888">
        <w:rPr>
          <w:rFonts w:cs="Arial"/>
          <w:color w:val="0B0C0C"/>
          <w:szCs w:val="24"/>
          <w:lang w:eastAsia="en-GB"/>
        </w:rPr>
        <w:t>in order to</w:t>
      </w:r>
      <w:proofErr w:type="gramEnd"/>
      <w:r w:rsidRPr="00D32888">
        <w:rPr>
          <w:rFonts w:cs="Arial"/>
          <w:color w:val="0B0C0C"/>
          <w:szCs w:val="24"/>
          <w:lang w:eastAsia="en-GB"/>
        </w:rPr>
        <w:t xml:space="preserve"> settle disputes, where it can be properly demonstrated that other routes have been thoroughly explored and excluded. </w:t>
      </w:r>
      <w:proofErr w:type="gramStart"/>
      <w:r w:rsidRPr="00D32888">
        <w:rPr>
          <w:rFonts w:cs="Arial"/>
          <w:color w:val="0B0C0C"/>
          <w:szCs w:val="24"/>
          <w:lang w:eastAsia="en-GB"/>
        </w:rPr>
        <w:t>After receiving appropriate professional advice, it</w:t>
      </w:r>
      <w:proofErr w:type="gramEnd"/>
      <w:r w:rsidRPr="00D32888">
        <w:rPr>
          <w:rFonts w:cs="Arial"/>
          <w:color w:val="0B0C0C"/>
          <w:szCs w:val="24"/>
          <w:lang w:eastAsia="en-GB"/>
        </w:rPr>
        <w:t xml:space="preserve"> may then possibly be concluded that a special severance payment is the most suitable option and prudent use of public money.</w:t>
      </w:r>
    </w:p>
    <w:p w14:paraId="65C7D1CE" w14:textId="77777777" w:rsidR="00D32888" w:rsidRPr="00D32888" w:rsidRDefault="00D32888" w:rsidP="00B34B13">
      <w:pPr>
        <w:shd w:val="clear" w:color="auto" w:fill="FFFFFF"/>
        <w:spacing w:before="120" w:after="300"/>
        <w:rPr>
          <w:rFonts w:cs="Arial"/>
          <w:color w:val="0B0C0C"/>
          <w:szCs w:val="24"/>
          <w:lang w:eastAsia="en-GB"/>
        </w:rPr>
      </w:pPr>
      <w:r w:rsidRPr="00D32888">
        <w:rPr>
          <w:rFonts w:cs="Arial"/>
          <w:color w:val="0B0C0C"/>
          <w:szCs w:val="24"/>
          <w:lang w:eastAsia="en-GB"/>
        </w:rPr>
        <w:t>4.4 Those approving a Special Severance Payment related to a settlement agreement should be provided with appropriate evidence that attempts were made to resolve disputes before they escalated to a legal claim. They should also bear in mind that even if the cost of defeating an apparently frivolous or vexatious claims will exceed the likely cost of that settlement to the employer, it may still be desirable to take the case to formal proceedings. This is because successfully defending such cases will discourage future frivolous or vexatious claims and demonstrate that the local authority does not reward such claims.</w:t>
      </w:r>
    </w:p>
    <w:p w14:paraId="3DC8A839" w14:textId="77777777" w:rsidR="00D32888" w:rsidRPr="00D32888" w:rsidRDefault="00D32888" w:rsidP="00B34B13">
      <w:pPr>
        <w:shd w:val="clear" w:color="auto" w:fill="FFFFFF"/>
        <w:spacing w:before="240"/>
        <w:outlineLvl w:val="1"/>
        <w:rPr>
          <w:rFonts w:cs="Arial"/>
          <w:b/>
          <w:bCs/>
          <w:color w:val="0B0C0C"/>
          <w:szCs w:val="24"/>
          <w:lang w:eastAsia="en-GB"/>
        </w:rPr>
      </w:pPr>
      <w:r w:rsidRPr="00D32888">
        <w:rPr>
          <w:rFonts w:cs="Arial"/>
          <w:b/>
          <w:bCs/>
          <w:color w:val="0B0C0C"/>
          <w:szCs w:val="24"/>
          <w:lang w:eastAsia="en-GB"/>
        </w:rPr>
        <w:t>5. Accountability and disclosure</w:t>
      </w:r>
    </w:p>
    <w:p w14:paraId="55EA6B1F" w14:textId="77777777" w:rsidR="00D32888" w:rsidRPr="00D32888" w:rsidRDefault="00D32888" w:rsidP="00B34B13">
      <w:pPr>
        <w:shd w:val="clear" w:color="auto" w:fill="FFFFFF"/>
        <w:spacing w:before="360"/>
        <w:outlineLvl w:val="2"/>
        <w:rPr>
          <w:rFonts w:cs="Arial"/>
          <w:b/>
          <w:bCs/>
          <w:color w:val="0B0C0C"/>
          <w:szCs w:val="24"/>
          <w:lang w:eastAsia="en-GB"/>
        </w:rPr>
      </w:pPr>
      <w:r w:rsidRPr="00D32888">
        <w:rPr>
          <w:rFonts w:cs="Arial"/>
          <w:b/>
          <w:bCs/>
          <w:color w:val="0B0C0C"/>
          <w:szCs w:val="24"/>
          <w:lang w:eastAsia="en-GB"/>
        </w:rPr>
        <w:t>Accountability</w:t>
      </w:r>
    </w:p>
    <w:p w14:paraId="1D1C6AFE"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5.1 The government expects that any Special Severance payments should be approved according to the following process:</w:t>
      </w:r>
    </w:p>
    <w:p w14:paraId="664146DF" w14:textId="77777777" w:rsidR="00D32888" w:rsidRPr="00D32888" w:rsidRDefault="00D32888" w:rsidP="00D32888">
      <w:pPr>
        <w:numPr>
          <w:ilvl w:val="0"/>
          <w:numId w:val="48"/>
        </w:numPr>
        <w:shd w:val="clear" w:color="auto" w:fill="FFFFFF"/>
        <w:spacing w:after="75"/>
        <w:ind w:left="300"/>
        <w:rPr>
          <w:rFonts w:cs="Arial"/>
          <w:color w:val="0B0C0C"/>
          <w:szCs w:val="24"/>
          <w:lang w:eastAsia="en-GB"/>
        </w:rPr>
      </w:pPr>
      <w:r w:rsidRPr="00D32888">
        <w:rPr>
          <w:rFonts w:cs="Arial"/>
          <w:color w:val="0B0C0C"/>
          <w:szCs w:val="24"/>
          <w:lang w:eastAsia="en-GB"/>
        </w:rPr>
        <w:t>payments of £100,000 and above must be approved by a vote of full council, as set out in the Localism Act 2011</w:t>
      </w:r>
    </w:p>
    <w:p w14:paraId="7148C67B" w14:textId="77777777" w:rsidR="00D32888" w:rsidRPr="00D32888" w:rsidRDefault="00D32888" w:rsidP="00D32888">
      <w:pPr>
        <w:numPr>
          <w:ilvl w:val="0"/>
          <w:numId w:val="48"/>
        </w:numPr>
        <w:shd w:val="clear" w:color="auto" w:fill="FFFFFF"/>
        <w:spacing w:after="75"/>
        <w:ind w:left="300"/>
        <w:rPr>
          <w:rFonts w:cs="Arial"/>
          <w:color w:val="0B0C0C"/>
          <w:szCs w:val="24"/>
          <w:lang w:eastAsia="en-GB"/>
        </w:rPr>
      </w:pPr>
      <w:r w:rsidRPr="00D32888">
        <w:rPr>
          <w:rFonts w:cs="Arial"/>
          <w:color w:val="0B0C0C"/>
          <w:szCs w:val="24"/>
          <w:lang w:eastAsia="en-GB"/>
        </w:rPr>
        <w:t xml:space="preserve">payments of £20,000 and above, but below £100,000, must be personally approved and signed off by the Head of Paid Service, with a clear record of the Leader’s approval and that of any others who have signed off the </w:t>
      </w:r>
      <w:proofErr w:type="gramStart"/>
      <w:r w:rsidRPr="00D32888">
        <w:rPr>
          <w:rFonts w:cs="Arial"/>
          <w:color w:val="0B0C0C"/>
          <w:szCs w:val="24"/>
          <w:lang w:eastAsia="en-GB"/>
        </w:rPr>
        <w:t>payment</w:t>
      </w:r>
      <w:proofErr w:type="gramEnd"/>
    </w:p>
    <w:p w14:paraId="0FF344FD" w14:textId="77777777" w:rsidR="00D32888" w:rsidRPr="00D32888" w:rsidRDefault="00D32888" w:rsidP="00D32888">
      <w:pPr>
        <w:numPr>
          <w:ilvl w:val="0"/>
          <w:numId w:val="48"/>
        </w:numPr>
        <w:shd w:val="clear" w:color="auto" w:fill="FFFFFF"/>
        <w:spacing w:after="75"/>
        <w:ind w:left="300"/>
        <w:rPr>
          <w:rFonts w:cs="Arial"/>
          <w:color w:val="0B0C0C"/>
          <w:szCs w:val="24"/>
          <w:lang w:eastAsia="en-GB"/>
        </w:rPr>
      </w:pPr>
      <w:r w:rsidRPr="00D32888">
        <w:rPr>
          <w:rFonts w:cs="Arial"/>
          <w:color w:val="0B0C0C"/>
          <w:szCs w:val="24"/>
          <w:lang w:eastAsia="en-GB"/>
        </w:rPr>
        <w:t xml:space="preserve">payments below £20,000 must be approved according to the local authority’s scheme of delegation. It is expected that local authorities should publish their policy and process for approving these </w:t>
      </w:r>
      <w:proofErr w:type="gramStart"/>
      <w:r w:rsidRPr="00D32888">
        <w:rPr>
          <w:rFonts w:cs="Arial"/>
          <w:color w:val="0B0C0C"/>
          <w:szCs w:val="24"/>
          <w:lang w:eastAsia="en-GB"/>
        </w:rPr>
        <w:t>payments</w:t>
      </w:r>
      <w:proofErr w:type="gramEnd"/>
    </w:p>
    <w:p w14:paraId="02AA4B65"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5.2 Where the proposed payment is to the Head of Paid Service, to avoid a conflict of interest it is expected that the payment should be approved by a panel including at least two independent persons. A system of legal duties also requires elected members to spend public money with regularity and propriety. Under section 151 of the Local Government Act 1972, “every local authority shall make arrangements for the proper administration of their financial affairs and shall secure that one of their officers (the section 151 officer or Chief Finance Officer) has responsibility for the administration of those affairs”. The section 151 officer has an important role in holding local authorities to account and has duties to alert elected members and the auditor in the case of unlawful expenditure.</w:t>
      </w:r>
    </w:p>
    <w:p w14:paraId="5A1B1EFB"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5.3 This role is complemented and reinforced by authorities’ duty under section 5 of the Local Government and Housing Act 1989 to appoint a Monitoring Officer, who must report to the local authority when any proposal, decision or omission is likely to lead to contravention of any enactment, rule of law or statutory code.</w:t>
      </w:r>
    </w:p>
    <w:p w14:paraId="5D80735A"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5.4 As part of their duties, an authority’s s151 Officer, and where appropriate, the Monitoring Officer, should take a close interest in and be able to justify any special severance payments that are made by that authority and in particular any payments made that are not consistent with the content of this guidance.</w:t>
      </w:r>
    </w:p>
    <w:p w14:paraId="23D63151" w14:textId="77777777" w:rsidR="00D32888" w:rsidRPr="00D32888" w:rsidRDefault="00D32888" w:rsidP="00B34B13">
      <w:pPr>
        <w:shd w:val="clear" w:color="auto" w:fill="FFFFFF"/>
        <w:spacing w:before="240"/>
        <w:outlineLvl w:val="2"/>
        <w:rPr>
          <w:rFonts w:cs="Arial"/>
          <w:b/>
          <w:bCs/>
          <w:color w:val="0B0C0C"/>
          <w:szCs w:val="24"/>
          <w:lang w:eastAsia="en-GB"/>
        </w:rPr>
      </w:pPr>
      <w:r w:rsidRPr="00D32888">
        <w:rPr>
          <w:rFonts w:cs="Arial"/>
          <w:b/>
          <w:bCs/>
          <w:color w:val="0B0C0C"/>
          <w:szCs w:val="24"/>
          <w:lang w:eastAsia="en-GB"/>
        </w:rPr>
        <w:t>Disclosure</w:t>
      </w:r>
    </w:p>
    <w:p w14:paraId="6B2EC04C"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5.5 Clear and transparent reporting on exit payments is essential to make available better data on the number and level of exit payments made in local government. The availability of data on exit payments in the public domain by local authorities enables local accountability as well as effective management of public money and public confidence. In 2015, the Local Government Transparency Code was issued to increase democratic accountability through open access to information</w:t>
      </w:r>
      <w:hyperlink r:id="rId17" w:anchor="fn:3" w:history="1">
        <w:r w:rsidRPr="00D32888">
          <w:rPr>
            <w:rFonts w:cs="Arial"/>
            <w:color w:val="1D70B8"/>
            <w:szCs w:val="24"/>
            <w:u w:val="single"/>
            <w:vertAlign w:val="superscript"/>
            <w:lang w:eastAsia="en-GB"/>
          </w:rPr>
          <w:t>[footnote 3]</w:t>
        </w:r>
      </w:hyperlink>
      <w:r w:rsidRPr="00D32888">
        <w:rPr>
          <w:rFonts w:cs="Arial"/>
          <w:color w:val="0B0C0C"/>
          <w:szCs w:val="24"/>
          <w:lang w:eastAsia="en-GB"/>
        </w:rPr>
        <w:t>. This sets a requirement for local authorities to publish, under the Account and Audit Regulations 2015:</w:t>
      </w:r>
    </w:p>
    <w:p w14:paraId="7B941592" w14:textId="77777777" w:rsidR="00D32888" w:rsidRPr="00D32888" w:rsidRDefault="00D32888" w:rsidP="00D32888">
      <w:pPr>
        <w:numPr>
          <w:ilvl w:val="0"/>
          <w:numId w:val="49"/>
        </w:numPr>
        <w:shd w:val="clear" w:color="auto" w:fill="FFFFFF"/>
        <w:spacing w:after="75"/>
        <w:ind w:left="300"/>
        <w:rPr>
          <w:rFonts w:cs="Arial"/>
          <w:color w:val="0B0C0C"/>
          <w:szCs w:val="24"/>
          <w:lang w:eastAsia="en-GB"/>
        </w:rPr>
      </w:pPr>
      <w:r w:rsidRPr="00D32888">
        <w:rPr>
          <w:rFonts w:cs="Arial"/>
          <w:color w:val="0B0C0C"/>
          <w:szCs w:val="24"/>
          <w:lang w:eastAsia="en-GB"/>
        </w:rPr>
        <w:t xml:space="preserve">the number of employees whose remuneration in that year was at least £50,000 in brackets of </w:t>
      </w:r>
      <w:proofErr w:type="gramStart"/>
      <w:r w:rsidRPr="00D32888">
        <w:rPr>
          <w:rFonts w:cs="Arial"/>
          <w:color w:val="0B0C0C"/>
          <w:szCs w:val="24"/>
          <w:lang w:eastAsia="en-GB"/>
        </w:rPr>
        <w:t>£5,000</w:t>
      </w:r>
      <w:proofErr w:type="gramEnd"/>
    </w:p>
    <w:p w14:paraId="7B0C8CE1" w14:textId="77777777" w:rsidR="00D32888" w:rsidRPr="00D32888" w:rsidRDefault="00D32888" w:rsidP="00D32888">
      <w:pPr>
        <w:numPr>
          <w:ilvl w:val="0"/>
          <w:numId w:val="49"/>
        </w:numPr>
        <w:shd w:val="clear" w:color="auto" w:fill="FFFFFF"/>
        <w:spacing w:after="75"/>
        <w:ind w:left="300"/>
        <w:rPr>
          <w:rFonts w:cs="Arial"/>
          <w:color w:val="0B0C0C"/>
          <w:szCs w:val="24"/>
          <w:lang w:eastAsia="en-GB"/>
        </w:rPr>
      </w:pPr>
      <w:r w:rsidRPr="00D32888">
        <w:rPr>
          <w:rFonts w:cs="Arial"/>
          <w:color w:val="0B0C0C"/>
          <w:szCs w:val="24"/>
          <w:lang w:eastAsia="en-GB"/>
        </w:rPr>
        <w:t>details of remuneration and job title of certain senior employees whose salary is at least £50,000, and</w:t>
      </w:r>
    </w:p>
    <w:p w14:paraId="2B8583E8" w14:textId="77777777" w:rsidR="00D32888" w:rsidRPr="00D32888" w:rsidRDefault="00D32888" w:rsidP="00D32888">
      <w:pPr>
        <w:numPr>
          <w:ilvl w:val="0"/>
          <w:numId w:val="49"/>
        </w:numPr>
        <w:shd w:val="clear" w:color="auto" w:fill="FFFFFF"/>
        <w:spacing w:after="75"/>
        <w:ind w:left="300"/>
        <w:rPr>
          <w:rFonts w:cs="Arial"/>
          <w:color w:val="0B0C0C"/>
          <w:szCs w:val="24"/>
          <w:lang w:eastAsia="en-GB"/>
        </w:rPr>
      </w:pPr>
      <w:r w:rsidRPr="00D32888">
        <w:rPr>
          <w:rFonts w:cs="Arial"/>
          <w:color w:val="0B0C0C"/>
          <w:szCs w:val="24"/>
          <w:lang w:eastAsia="en-GB"/>
        </w:rPr>
        <w:t xml:space="preserve">employees whose salaries are £150,000 or more must also be identified by </w:t>
      </w:r>
      <w:proofErr w:type="gramStart"/>
      <w:r w:rsidRPr="00D32888">
        <w:rPr>
          <w:rFonts w:cs="Arial"/>
          <w:color w:val="0B0C0C"/>
          <w:szCs w:val="24"/>
          <w:lang w:eastAsia="en-GB"/>
        </w:rPr>
        <w:t>name</w:t>
      </w:r>
      <w:proofErr w:type="gramEnd"/>
    </w:p>
    <w:p w14:paraId="3C2231F9" w14:textId="77777777" w:rsidR="00D32888" w:rsidRPr="00D32888" w:rsidRDefault="00D32888" w:rsidP="00D32888">
      <w:pPr>
        <w:shd w:val="clear" w:color="auto" w:fill="FFFFFF"/>
        <w:spacing w:before="300" w:after="300"/>
        <w:rPr>
          <w:rFonts w:cs="Arial"/>
          <w:color w:val="0B0C0C"/>
          <w:szCs w:val="24"/>
          <w:lang w:eastAsia="en-GB"/>
        </w:rPr>
      </w:pPr>
      <w:r w:rsidRPr="00D32888">
        <w:rPr>
          <w:rFonts w:cs="Arial"/>
          <w:color w:val="0B0C0C"/>
          <w:szCs w:val="24"/>
          <w:lang w:eastAsia="en-GB"/>
        </w:rPr>
        <w:t>In addition to this requirement, local authorities must publish, for all employees whose salary exceeds £50,000, a list of responsibilities (for example, the services and functions they are responsible for, budget held and number of staff) and details of bonuses and benefits-in-kind.</w:t>
      </w:r>
    </w:p>
    <w:p w14:paraId="06E3FD5E" w14:textId="77777777" w:rsidR="00D32888" w:rsidRPr="00D32888" w:rsidRDefault="00D32888" w:rsidP="00B34B13">
      <w:pPr>
        <w:shd w:val="clear" w:color="auto" w:fill="FFFFFF"/>
        <w:spacing w:before="120" w:after="300"/>
        <w:rPr>
          <w:rFonts w:cs="Arial"/>
          <w:color w:val="0B0C0C"/>
          <w:szCs w:val="24"/>
          <w:lang w:eastAsia="en-GB"/>
        </w:rPr>
      </w:pPr>
      <w:r w:rsidRPr="00D32888">
        <w:rPr>
          <w:rFonts w:cs="Arial"/>
          <w:color w:val="0B0C0C"/>
          <w:szCs w:val="24"/>
          <w:lang w:eastAsia="en-GB"/>
        </w:rPr>
        <w:t>5.6 DLUHC has initiated a new annual collection of data on exit payments (initially collecting data from 2014 – 2021) and the results will be published into official statistics and made available on the gov.uk website, subject to any necessary anonymisation or redaction to comply with data protection law. This data will help others to assess the number and level of exit payments made in local government.</w:t>
      </w:r>
    </w:p>
    <w:p w14:paraId="737BC5CE" w14:textId="77777777" w:rsidR="00D32888" w:rsidRPr="00D32888" w:rsidRDefault="00D32888" w:rsidP="00B34B13">
      <w:pPr>
        <w:shd w:val="clear" w:color="auto" w:fill="FFFFFF"/>
        <w:spacing w:before="120" w:after="300"/>
        <w:rPr>
          <w:rFonts w:cs="Arial"/>
          <w:color w:val="0B0C0C"/>
          <w:szCs w:val="24"/>
          <w:lang w:eastAsia="en-GB"/>
        </w:rPr>
      </w:pPr>
      <w:r w:rsidRPr="00D32888">
        <w:rPr>
          <w:rFonts w:cs="Arial"/>
          <w:color w:val="0B0C0C"/>
          <w:szCs w:val="24"/>
          <w:lang w:eastAsia="en-GB"/>
        </w:rPr>
        <w:t>5.7 Section 38 of the Localism Act 2011 requires the local authority to produce and publish a pay policy statement, which must include the authority’s policies on termination payments. Further guidance on the requirements of the Localism Act 2011 has been issued</w:t>
      </w:r>
      <w:hyperlink r:id="rId18" w:anchor="fn:4" w:history="1">
        <w:r w:rsidRPr="00D32888">
          <w:rPr>
            <w:rFonts w:cs="Arial"/>
            <w:color w:val="1D70B8"/>
            <w:szCs w:val="24"/>
            <w:u w:val="single"/>
            <w:vertAlign w:val="superscript"/>
            <w:lang w:eastAsia="en-GB"/>
          </w:rPr>
          <w:t>[footnote 4]</w:t>
        </w:r>
      </w:hyperlink>
      <w:r w:rsidRPr="00D32888">
        <w:rPr>
          <w:rFonts w:cs="Arial"/>
          <w:color w:val="0B0C0C"/>
          <w:szCs w:val="24"/>
          <w:lang w:eastAsia="en-GB"/>
        </w:rPr>
        <w:t>.</w:t>
      </w:r>
    </w:p>
    <w:p w14:paraId="6E6054B0" w14:textId="77777777" w:rsidR="00D32888" w:rsidRPr="00D32888" w:rsidRDefault="00D32888" w:rsidP="00B34B13">
      <w:pPr>
        <w:shd w:val="clear" w:color="auto" w:fill="FFFFFF"/>
        <w:spacing w:before="120" w:after="300"/>
        <w:rPr>
          <w:rFonts w:cs="Arial"/>
          <w:color w:val="0B0C0C"/>
          <w:szCs w:val="24"/>
          <w:lang w:eastAsia="en-GB"/>
        </w:rPr>
      </w:pPr>
      <w:r w:rsidRPr="00D32888">
        <w:rPr>
          <w:rFonts w:cs="Arial"/>
          <w:color w:val="0B0C0C"/>
          <w:szCs w:val="24"/>
          <w:lang w:eastAsia="en-GB"/>
        </w:rPr>
        <w:t>5.8 In addition, Regulation 60 of the Local Government Pension Scheme Regulations 2013 requires local authorities to prepare a statement of its policy in relation to the exercise of the discretion to enhance pension benefits under Regulations 16(2)(e) and 16(4)(d) (funding of additional pension), Regulation 30(6) (flexible retirement), Regulation 30(8) (waiving of actuarial reduction); and Regulation 31 (award of additional pension).</w:t>
      </w:r>
    </w:p>
    <w:p w14:paraId="009DD0AA" w14:textId="77777777" w:rsidR="00D32888" w:rsidRPr="00D32888" w:rsidRDefault="00D32888" w:rsidP="00B34B13">
      <w:pPr>
        <w:shd w:val="clear" w:color="auto" w:fill="FFFFFF"/>
        <w:spacing w:before="120" w:after="300"/>
        <w:rPr>
          <w:rFonts w:cs="Arial"/>
          <w:color w:val="0B0C0C"/>
          <w:szCs w:val="24"/>
          <w:lang w:eastAsia="en-GB"/>
        </w:rPr>
      </w:pPr>
      <w:r w:rsidRPr="00D32888">
        <w:rPr>
          <w:rFonts w:cs="Arial"/>
          <w:color w:val="0B0C0C"/>
          <w:szCs w:val="24"/>
          <w:lang w:eastAsia="en-GB"/>
        </w:rPr>
        <w:t>5.9 Regulation 10 of the Accounts and Audit Regulations 2015 require authorities to publish an annual statement of accounts, governance statement and narrative statement. As well as following existing guidance</w:t>
      </w:r>
      <w:hyperlink r:id="rId19" w:anchor="fn:5" w:history="1">
        <w:r w:rsidRPr="00D32888">
          <w:rPr>
            <w:rFonts w:cs="Arial"/>
            <w:color w:val="1D70B8"/>
            <w:szCs w:val="24"/>
            <w:u w:val="single"/>
            <w:vertAlign w:val="superscript"/>
            <w:lang w:eastAsia="en-GB"/>
          </w:rPr>
          <w:t>[footnote 5]</w:t>
        </w:r>
      </w:hyperlink>
      <w:r w:rsidRPr="00D32888">
        <w:rPr>
          <w:rFonts w:cs="Arial"/>
          <w:color w:val="0B0C0C"/>
          <w:szCs w:val="24"/>
          <w:lang w:eastAsia="en-GB"/>
        </w:rPr>
        <w:t> on reporting exit payments, local authorities should also disclose in their annual accounts all severance payments, pension fund strain costs and other special severance payments made in consequence of termination of employment or loss of office (but excluding payments on death or ill-health retirement). Apart from where otherwise required by law, reporting may be anonymised to comply with data protection requirements.</w:t>
      </w:r>
    </w:p>
    <w:p w14:paraId="415AAC73" w14:textId="77777777" w:rsidR="00D32888" w:rsidRPr="00D32888" w:rsidRDefault="00D32888" w:rsidP="00B34B13">
      <w:pPr>
        <w:shd w:val="clear" w:color="auto" w:fill="FFFFFF"/>
        <w:spacing w:before="480"/>
        <w:outlineLvl w:val="1"/>
        <w:rPr>
          <w:rFonts w:cs="Arial"/>
          <w:b/>
          <w:bCs/>
          <w:color w:val="0B0C0C"/>
          <w:szCs w:val="24"/>
          <w:lang w:eastAsia="en-GB"/>
        </w:rPr>
      </w:pPr>
      <w:r w:rsidRPr="00D32888">
        <w:rPr>
          <w:rFonts w:cs="Arial"/>
          <w:b/>
          <w:bCs/>
          <w:color w:val="0B0C0C"/>
          <w:szCs w:val="24"/>
          <w:lang w:eastAsia="en-GB"/>
        </w:rPr>
        <w:t>List of bodies this guidance applies to</w:t>
      </w:r>
    </w:p>
    <w:p w14:paraId="4E969570" w14:textId="77777777" w:rsidR="00D32888" w:rsidRP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An English local authority, including:</w:t>
      </w:r>
    </w:p>
    <w:p w14:paraId="01EFD0F1" w14:textId="77777777" w:rsidR="00D32888" w:rsidRPr="00D32888" w:rsidRDefault="00D32888" w:rsidP="00D32888">
      <w:pPr>
        <w:numPr>
          <w:ilvl w:val="1"/>
          <w:numId w:val="50"/>
        </w:numPr>
        <w:shd w:val="clear" w:color="auto" w:fill="FFFFFF"/>
        <w:spacing w:after="75"/>
        <w:ind w:left="600"/>
        <w:rPr>
          <w:rFonts w:cs="Arial"/>
          <w:color w:val="0B0C0C"/>
          <w:szCs w:val="24"/>
          <w:lang w:eastAsia="en-GB"/>
        </w:rPr>
      </w:pPr>
      <w:r w:rsidRPr="00D32888">
        <w:rPr>
          <w:rFonts w:cs="Arial"/>
          <w:color w:val="0B0C0C"/>
          <w:szCs w:val="24"/>
          <w:lang w:eastAsia="en-GB"/>
        </w:rPr>
        <w:t xml:space="preserve">a county council in England, a district </w:t>
      </w:r>
      <w:proofErr w:type="gramStart"/>
      <w:r w:rsidRPr="00D32888">
        <w:rPr>
          <w:rFonts w:cs="Arial"/>
          <w:color w:val="0B0C0C"/>
          <w:szCs w:val="24"/>
          <w:lang w:eastAsia="en-GB"/>
        </w:rPr>
        <w:t>council</w:t>
      </w:r>
      <w:proofErr w:type="gramEnd"/>
      <w:r w:rsidRPr="00D32888">
        <w:rPr>
          <w:rFonts w:cs="Arial"/>
          <w:color w:val="0B0C0C"/>
          <w:szCs w:val="24"/>
          <w:lang w:eastAsia="en-GB"/>
        </w:rPr>
        <w:t xml:space="preserve"> or a London borough council</w:t>
      </w:r>
    </w:p>
    <w:p w14:paraId="682F6C90" w14:textId="77777777" w:rsidR="00D32888" w:rsidRPr="00D32888" w:rsidRDefault="00D32888" w:rsidP="00D32888">
      <w:pPr>
        <w:numPr>
          <w:ilvl w:val="1"/>
          <w:numId w:val="50"/>
        </w:numPr>
        <w:shd w:val="clear" w:color="auto" w:fill="FFFFFF"/>
        <w:spacing w:after="75"/>
        <w:ind w:left="600"/>
        <w:rPr>
          <w:rFonts w:cs="Arial"/>
          <w:color w:val="0B0C0C"/>
          <w:szCs w:val="24"/>
          <w:lang w:eastAsia="en-GB"/>
        </w:rPr>
      </w:pPr>
      <w:r w:rsidRPr="00D32888">
        <w:rPr>
          <w:rFonts w:cs="Arial"/>
          <w:color w:val="0B0C0C"/>
          <w:szCs w:val="24"/>
          <w:lang w:eastAsia="en-GB"/>
        </w:rPr>
        <w:t>the Council of the Isles of Scilly</w:t>
      </w:r>
    </w:p>
    <w:p w14:paraId="7E64C74C" w14:textId="77777777" w:rsidR="00D32888" w:rsidRPr="00D32888" w:rsidRDefault="00D32888" w:rsidP="00D32888">
      <w:pPr>
        <w:numPr>
          <w:ilvl w:val="1"/>
          <w:numId w:val="50"/>
        </w:numPr>
        <w:shd w:val="clear" w:color="auto" w:fill="FFFFFF"/>
        <w:spacing w:after="75"/>
        <w:ind w:left="600"/>
        <w:rPr>
          <w:rFonts w:cs="Arial"/>
          <w:color w:val="0B0C0C"/>
          <w:szCs w:val="24"/>
          <w:lang w:eastAsia="en-GB"/>
        </w:rPr>
      </w:pPr>
      <w:r w:rsidRPr="00D32888">
        <w:rPr>
          <w:rFonts w:cs="Arial"/>
          <w:color w:val="0B0C0C"/>
          <w:szCs w:val="24"/>
          <w:lang w:eastAsia="en-GB"/>
        </w:rPr>
        <w:t>the Common Council of the City of London in its capacity as a local authority</w:t>
      </w:r>
    </w:p>
    <w:p w14:paraId="7B3EB088" w14:textId="77777777" w:rsidR="00D32888" w:rsidRPr="00D32888" w:rsidRDefault="00D32888" w:rsidP="00D32888">
      <w:pPr>
        <w:numPr>
          <w:ilvl w:val="1"/>
          <w:numId w:val="50"/>
        </w:numPr>
        <w:shd w:val="clear" w:color="auto" w:fill="FFFFFF"/>
        <w:spacing w:after="75"/>
        <w:ind w:left="600"/>
        <w:rPr>
          <w:rFonts w:cs="Arial"/>
          <w:color w:val="0B0C0C"/>
          <w:szCs w:val="24"/>
          <w:lang w:eastAsia="en-GB"/>
        </w:rPr>
      </w:pPr>
      <w:r w:rsidRPr="00D32888">
        <w:rPr>
          <w:rFonts w:cs="Arial"/>
          <w:color w:val="0B0C0C"/>
          <w:szCs w:val="24"/>
          <w:lang w:eastAsia="en-GB"/>
        </w:rPr>
        <w:t xml:space="preserve">the Greater London Authority so far as it exercises its functions through the </w:t>
      </w:r>
      <w:proofErr w:type="gramStart"/>
      <w:r w:rsidRPr="00D32888">
        <w:rPr>
          <w:rFonts w:cs="Arial"/>
          <w:color w:val="0B0C0C"/>
          <w:szCs w:val="24"/>
          <w:lang w:eastAsia="en-GB"/>
        </w:rPr>
        <w:t>Mayor</w:t>
      </w:r>
      <w:proofErr w:type="gramEnd"/>
    </w:p>
    <w:p w14:paraId="2F075069" w14:textId="77777777" w:rsidR="00D32888" w:rsidRP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A National Park authority for a National Park in England</w:t>
      </w:r>
    </w:p>
    <w:p w14:paraId="46A4A17D" w14:textId="77777777" w:rsidR="00D32888" w:rsidRP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The Broads Authority</w:t>
      </w:r>
    </w:p>
    <w:p w14:paraId="34D40DFB" w14:textId="77777777" w:rsidR="00D32888" w:rsidRP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The Common Council of the City of London in its capacity as a police authority</w:t>
      </w:r>
    </w:p>
    <w:p w14:paraId="46291A4B" w14:textId="77777777" w:rsidR="00D32888" w:rsidRP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A fire and rescue authority constituted by a scheme under </w:t>
      </w:r>
      <w:hyperlink r:id="rId20" w:history="1">
        <w:r w:rsidRPr="00D32888">
          <w:rPr>
            <w:rFonts w:cs="Arial"/>
            <w:color w:val="1D70B8"/>
            <w:szCs w:val="24"/>
            <w:u w:val="single"/>
            <w:lang w:eastAsia="en-GB"/>
          </w:rPr>
          <w:t>section 2 of the Fire and Rescue Services Act 2004</w:t>
        </w:r>
      </w:hyperlink>
      <w:r w:rsidRPr="00D32888">
        <w:rPr>
          <w:rFonts w:cs="Arial"/>
          <w:color w:val="0B0C0C"/>
          <w:szCs w:val="24"/>
          <w:lang w:eastAsia="en-GB"/>
        </w:rPr>
        <w:t> or a scheme to which section 4 of that Act applies, and a metropolitan county fire and rescue authority in England</w:t>
      </w:r>
    </w:p>
    <w:p w14:paraId="31E28D5B" w14:textId="77777777" w:rsidR="00D32888" w:rsidRP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The London Fire Commissioner</w:t>
      </w:r>
    </w:p>
    <w:p w14:paraId="5B55BB4B" w14:textId="77777777" w:rsidR="00D32888" w:rsidRP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An authority established under </w:t>
      </w:r>
      <w:hyperlink r:id="rId21" w:history="1">
        <w:r w:rsidRPr="00D32888">
          <w:rPr>
            <w:rFonts w:cs="Arial"/>
            <w:color w:val="1D70B8"/>
            <w:szCs w:val="24"/>
            <w:u w:val="single"/>
            <w:lang w:eastAsia="en-GB"/>
          </w:rPr>
          <w:t>section 10 of the Local Government Act 1985 (waste disposal authorities)</w:t>
        </w:r>
      </w:hyperlink>
    </w:p>
    <w:p w14:paraId="02FF00EB" w14:textId="77777777" w:rsidR="00D32888" w:rsidRP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An Integrated Transport Authority for an integrated transport area in England</w:t>
      </w:r>
    </w:p>
    <w:p w14:paraId="0BD2F497" w14:textId="77777777" w:rsidR="00D32888" w:rsidRP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An economic prosperity board established under </w:t>
      </w:r>
      <w:hyperlink r:id="rId22" w:history="1">
        <w:r w:rsidRPr="00D32888">
          <w:rPr>
            <w:rFonts w:cs="Arial"/>
            <w:color w:val="1D70B8"/>
            <w:szCs w:val="24"/>
            <w:u w:val="single"/>
            <w:lang w:eastAsia="en-GB"/>
          </w:rPr>
          <w:t>section 88 of the Local Democracy, Economic Development and Construction Act 2009</w:t>
        </w:r>
      </w:hyperlink>
    </w:p>
    <w:p w14:paraId="36FE07B2" w14:textId="77777777" w:rsidR="00D32888" w:rsidRP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A combined authority established under </w:t>
      </w:r>
      <w:hyperlink r:id="rId23" w:history="1">
        <w:r w:rsidRPr="00D32888">
          <w:rPr>
            <w:rFonts w:cs="Arial"/>
            <w:color w:val="1D70B8"/>
            <w:szCs w:val="24"/>
            <w:u w:val="single"/>
            <w:lang w:eastAsia="en-GB"/>
          </w:rPr>
          <w:t>section 103 of that Act</w:t>
        </w:r>
      </w:hyperlink>
    </w:p>
    <w:p w14:paraId="4A7A0308" w14:textId="77777777" w:rsidR="00D32888" w:rsidRP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A sub-national transport body established under </w:t>
      </w:r>
      <w:hyperlink r:id="rId24" w:history="1">
        <w:r w:rsidRPr="00D32888">
          <w:rPr>
            <w:rFonts w:cs="Arial"/>
            <w:color w:val="1D70B8"/>
            <w:szCs w:val="24"/>
            <w:u w:val="single"/>
            <w:lang w:eastAsia="en-GB"/>
          </w:rPr>
          <w:t>section 102E of the Local Transport Act 2008</w:t>
        </w:r>
      </w:hyperlink>
    </w:p>
    <w:p w14:paraId="45D3307C" w14:textId="64357995" w:rsidR="00D32888" w:rsidRDefault="00D32888" w:rsidP="00D32888">
      <w:pPr>
        <w:numPr>
          <w:ilvl w:val="0"/>
          <w:numId w:val="50"/>
        </w:numPr>
        <w:shd w:val="clear" w:color="auto" w:fill="FFFFFF"/>
        <w:spacing w:after="75"/>
        <w:ind w:left="300"/>
        <w:rPr>
          <w:rFonts w:cs="Arial"/>
          <w:color w:val="0B0C0C"/>
          <w:szCs w:val="24"/>
          <w:lang w:eastAsia="en-GB"/>
        </w:rPr>
      </w:pPr>
      <w:r w:rsidRPr="00D32888">
        <w:rPr>
          <w:rFonts w:cs="Arial"/>
          <w:color w:val="0B0C0C"/>
          <w:szCs w:val="24"/>
          <w:lang w:eastAsia="en-GB"/>
        </w:rPr>
        <w:t>Transport for London</w:t>
      </w:r>
    </w:p>
    <w:p w14:paraId="3878CFCA" w14:textId="54B2C482" w:rsidR="00B34B13" w:rsidRDefault="00B34B13" w:rsidP="00B34B13">
      <w:pPr>
        <w:shd w:val="clear" w:color="auto" w:fill="FFFFFF"/>
        <w:spacing w:after="75"/>
        <w:ind w:left="300"/>
        <w:rPr>
          <w:rFonts w:cs="Arial"/>
          <w:color w:val="0B0C0C"/>
          <w:szCs w:val="24"/>
          <w:lang w:eastAsia="en-GB"/>
        </w:rPr>
      </w:pPr>
    </w:p>
    <w:p w14:paraId="692989F6" w14:textId="53A5AFD6" w:rsidR="00B34B13" w:rsidRPr="00B34B13" w:rsidRDefault="00B34B13" w:rsidP="00B34B13">
      <w:pPr>
        <w:shd w:val="clear" w:color="auto" w:fill="FFFFFF"/>
        <w:spacing w:after="75"/>
        <w:ind w:left="300"/>
        <w:rPr>
          <w:rFonts w:cs="Arial"/>
          <w:color w:val="0B0C0C"/>
          <w:szCs w:val="24"/>
          <w:lang w:eastAsia="en-GB"/>
        </w:rPr>
      </w:pPr>
      <w:r>
        <w:rPr>
          <w:rFonts w:cs="Arial"/>
          <w:color w:val="0B0C0C"/>
          <w:szCs w:val="24"/>
          <w:lang w:eastAsia="en-GB"/>
        </w:rPr>
        <w:t>Footnotes</w:t>
      </w:r>
    </w:p>
    <w:p w14:paraId="51F7D213" w14:textId="77777777" w:rsidR="00D32888" w:rsidRPr="00D32888" w:rsidRDefault="00D32888" w:rsidP="00D32888">
      <w:pPr>
        <w:numPr>
          <w:ilvl w:val="0"/>
          <w:numId w:val="51"/>
        </w:numPr>
        <w:shd w:val="clear" w:color="auto" w:fill="FFFFFF"/>
        <w:spacing w:after="150"/>
        <w:ind w:left="300"/>
        <w:rPr>
          <w:rFonts w:cs="Arial"/>
          <w:color w:val="0B0C0C"/>
          <w:szCs w:val="24"/>
          <w:lang w:eastAsia="en-GB"/>
        </w:rPr>
      </w:pPr>
      <w:r w:rsidRPr="00D32888">
        <w:rPr>
          <w:rFonts w:cs="Arial"/>
          <w:color w:val="0B0C0C"/>
          <w:szCs w:val="24"/>
          <w:lang w:eastAsia="en-GB"/>
        </w:rPr>
        <w:t xml:space="preserve">In Re </w:t>
      </w:r>
      <w:proofErr w:type="spellStart"/>
      <w:r w:rsidRPr="00D32888">
        <w:rPr>
          <w:rFonts w:cs="Arial"/>
          <w:color w:val="0B0C0C"/>
          <w:szCs w:val="24"/>
          <w:lang w:eastAsia="en-GB"/>
        </w:rPr>
        <w:t>Hurle</w:t>
      </w:r>
      <w:proofErr w:type="spellEnd"/>
      <w:r w:rsidRPr="00D32888">
        <w:rPr>
          <w:rFonts w:cs="Arial"/>
          <w:color w:val="0B0C0C"/>
          <w:szCs w:val="24"/>
          <w:lang w:eastAsia="en-GB"/>
        </w:rPr>
        <w:t>-Hobbs’s Decision (1944) 1 All E.R. 249. </w:t>
      </w:r>
      <w:hyperlink r:id="rId25" w:anchor="fnref:1" w:history="1">
        <w:r w:rsidRPr="00D32888">
          <w:rPr>
            <w:rFonts w:ascii="Cambria Math" w:hAnsi="Cambria Math" w:cs="Cambria Math"/>
            <w:color w:val="1D70B8"/>
            <w:szCs w:val="24"/>
            <w:u w:val="single"/>
            <w:lang w:eastAsia="en-GB"/>
          </w:rPr>
          <w:t>↩</w:t>
        </w:r>
      </w:hyperlink>
    </w:p>
    <w:p w14:paraId="2B42F241" w14:textId="1DF92E89" w:rsidR="00D32888" w:rsidRPr="00D32888" w:rsidRDefault="00D32888" w:rsidP="00D32888">
      <w:pPr>
        <w:numPr>
          <w:ilvl w:val="0"/>
          <w:numId w:val="51"/>
        </w:numPr>
        <w:shd w:val="clear" w:color="auto" w:fill="FFFFFF"/>
        <w:spacing w:before="150" w:after="150"/>
        <w:ind w:left="300"/>
        <w:rPr>
          <w:rFonts w:cs="Arial"/>
          <w:color w:val="0B0C0C"/>
          <w:szCs w:val="24"/>
          <w:lang w:eastAsia="en-GB"/>
        </w:rPr>
      </w:pPr>
      <w:r w:rsidRPr="00D32888">
        <w:rPr>
          <w:rFonts w:cs="Arial"/>
          <w:color w:val="0B0C0C"/>
          <w:szCs w:val="24"/>
          <w:lang w:eastAsia="en-GB"/>
        </w:rPr>
        <w:t>Under the Employment Rights Act 1996 employees need two years</w:t>
      </w:r>
      <w:r w:rsidR="00B34B13">
        <w:rPr>
          <w:rFonts w:cs="Arial"/>
          <w:color w:val="0B0C0C"/>
          <w:szCs w:val="24"/>
          <w:lang w:eastAsia="en-GB"/>
        </w:rPr>
        <w:t>’</w:t>
      </w:r>
      <w:r w:rsidRPr="00D32888">
        <w:rPr>
          <w:rFonts w:cs="Arial"/>
          <w:color w:val="0B0C0C"/>
          <w:szCs w:val="24"/>
          <w:lang w:eastAsia="en-GB"/>
        </w:rPr>
        <w:t xml:space="preserve"> service with their current or an “associated employer” to qualify for a redundancy payment. The purpose of the Redundancy Payments (Continuity of Employment in Local Government, etc.) (Modification) Order 1999, as amended, is to provide a statutory list of ‘associated employers’ for the purposes of redundancy payments. The list set out in the Order includes all local authorities as well as various other, but not all, other local public service providers. </w:t>
      </w:r>
      <w:hyperlink r:id="rId26" w:anchor="fnref:2" w:history="1">
        <w:r w:rsidRPr="00D32888">
          <w:rPr>
            <w:rFonts w:ascii="Cambria Math" w:hAnsi="Cambria Math" w:cs="Cambria Math"/>
            <w:color w:val="1D70B8"/>
            <w:szCs w:val="24"/>
            <w:u w:val="single"/>
            <w:lang w:eastAsia="en-GB"/>
          </w:rPr>
          <w:t>↩</w:t>
        </w:r>
      </w:hyperlink>
    </w:p>
    <w:p w14:paraId="425468CD" w14:textId="77777777" w:rsidR="00D32888" w:rsidRPr="00D32888" w:rsidRDefault="00665B85" w:rsidP="00D32888">
      <w:pPr>
        <w:numPr>
          <w:ilvl w:val="0"/>
          <w:numId w:val="51"/>
        </w:numPr>
        <w:shd w:val="clear" w:color="auto" w:fill="FFFFFF"/>
        <w:spacing w:before="150" w:after="150"/>
        <w:ind w:left="300"/>
        <w:rPr>
          <w:rFonts w:cs="Arial"/>
          <w:color w:val="0B0C0C"/>
          <w:szCs w:val="24"/>
          <w:lang w:eastAsia="en-GB"/>
        </w:rPr>
      </w:pPr>
      <w:hyperlink r:id="rId27" w:history="1">
        <w:r w:rsidR="00D32888" w:rsidRPr="00D32888">
          <w:rPr>
            <w:rFonts w:cs="Arial"/>
            <w:color w:val="1D70B8"/>
            <w:szCs w:val="24"/>
            <w:u w:val="single"/>
            <w:lang w:eastAsia="en-GB"/>
          </w:rPr>
          <w:t>Local government transparency code 2015</w:t>
        </w:r>
      </w:hyperlink>
      <w:r w:rsidR="00D32888" w:rsidRPr="00D32888">
        <w:rPr>
          <w:rFonts w:cs="Arial"/>
          <w:color w:val="0B0C0C"/>
          <w:szCs w:val="24"/>
          <w:lang w:eastAsia="en-GB"/>
        </w:rPr>
        <w:t>. </w:t>
      </w:r>
      <w:hyperlink r:id="rId28" w:anchor="fnref:3" w:history="1">
        <w:r w:rsidR="00D32888" w:rsidRPr="00D32888">
          <w:rPr>
            <w:rFonts w:ascii="Cambria Math" w:hAnsi="Cambria Math" w:cs="Cambria Math"/>
            <w:color w:val="1D70B8"/>
            <w:szCs w:val="24"/>
            <w:u w:val="single"/>
            <w:lang w:eastAsia="en-GB"/>
          </w:rPr>
          <w:t>↩</w:t>
        </w:r>
      </w:hyperlink>
    </w:p>
    <w:p w14:paraId="3B455B5C" w14:textId="77777777" w:rsidR="00D32888" w:rsidRPr="00D32888" w:rsidRDefault="00665B85" w:rsidP="00D32888">
      <w:pPr>
        <w:numPr>
          <w:ilvl w:val="0"/>
          <w:numId w:val="51"/>
        </w:numPr>
        <w:shd w:val="clear" w:color="auto" w:fill="FFFFFF"/>
        <w:spacing w:before="150" w:after="150"/>
        <w:ind w:left="300"/>
        <w:rPr>
          <w:rFonts w:cs="Arial"/>
          <w:color w:val="0B0C0C"/>
          <w:szCs w:val="24"/>
          <w:lang w:eastAsia="en-GB"/>
        </w:rPr>
      </w:pPr>
      <w:hyperlink r:id="rId29" w:history="1">
        <w:r w:rsidR="00D32888" w:rsidRPr="00D32888">
          <w:rPr>
            <w:rFonts w:cs="Arial"/>
            <w:color w:val="1D70B8"/>
            <w:szCs w:val="24"/>
            <w:u w:val="single"/>
            <w:lang w:eastAsia="en-GB"/>
          </w:rPr>
          <w:t>Openness and accountability in local pay: guidance under section 40 of the Localism Act 2011</w:t>
        </w:r>
      </w:hyperlink>
      <w:r w:rsidR="00D32888" w:rsidRPr="00D32888">
        <w:rPr>
          <w:rFonts w:cs="Arial"/>
          <w:color w:val="0B0C0C"/>
          <w:szCs w:val="24"/>
          <w:lang w:eastAsia="en-GB"/>
        </w:rPr>
        <w:t>. </w:t>
      </w:r>
      <w:hyperlink r:id="rId30" w:anchor="fnref:4" w:history="1">
        <w:r w:rsidR="00D32888" w:rsidRPr="00D32888">
          <w:rPr>
            <w:rFonts w:ascii="Cambria Math" w:hAnsi="Cambria Math" w:cs="Cambria Math"/>
            <w:color w:val="1D70B8"/>
            <w:szCs w:val="24"/>
            <w:u w:val="single"/>
            <w:lang w:eastAsia="en-GB"/>
          </w:rPr>
          <w:t>↩</w:t>
        </w:r>
      </w:hyperlink>
    </w:p>
    <w:p w14:paraId="6ECEBEEC" w14:textId="77777777" w:rsidR="00D32888" w:rsidRPr="00D32888" w:rsidRDefault="00D32888" w:rsidP="00D32888">
      <w:pPr>
        <w:numPr>
          <w:ilvl w:val="0"/>
          <w:numId w:val="51"/>
        </w:numPr>
        <w:shd w:val="clear" w:color="auto" w:fill="FFFFFF"/>
        <w:spacing w:before="150" w:after="150"/>
        <w:ind w:left="300"/>
        <w:rPr>
          <w:rFonts w:cs="Arial"/>
          <w:color w:val="0B0C0C"/>
          <w:szCs w:val="24"/>
          <w:lang w:eastAsia="en-GB"/>
        </w:rPr>
      </w:pPr>
      <w:r w:rsidRPr="00D32888">
        <w:rPr>
          <w:rFonts w:cs="Arial"/>
          <w:color w:val="0B0C0C"/>
          <w:szCs w:val="24"/>
          <w:lang w:eastAsia="en-GB"/>
        </w:rPr>
        <w:t>CIPFA, Code of Practice on Local Authority Accounting in the United Kingdom 2020/21. </w:t>
      </w:r>
      <w:hyperlink r:id="rId31" w:anchor="fnref:5" w:history="1">
        <w:r w:rsidRPr="00D32888">
          <w:rPr>
            <w:rFonts w:ascii="Cambria Math" w:hAnsi="Cambria Math" w:cs="Cambria Math"/>
            <w:color w:val="1D70B8"/>
            <w:szCs w:val="24"/>
            <w:u w:val="single"/>
            <w:lang w:eastAsia="en-GB"/>
          </w:rPr>
          <w:t>↩</w:t>
        </w:r>
      </w:hyperlink>
    </w:p>
    <w:p w14:paraId="0C7F5029" w14:textId="77777777" w:rsidR="00D32888" w:rsidRPr="00D32888" w:rsidRDefault="00D32888" w:rsidP="00D32888">
      <w:pPr>
        <w:widowControl w:val="0"/>
        <w:rPr>
          <w:rFonts w:cs="Arial"/>
          <w:b/>
          <w:snapToGrid w:val="0"/>
          <w:szCs w:val="24"/>
        </w:rPr>
      </w:pPr>
    </w:p>
    <w:sectPr w:rsidR="00D32888" w:rsidRPr="00D32888" w:rsidSect="0049013E">
      <w:pgSz w:w="11906" w:h="16838"/>
      <w:pgMar w:top="992" w:right="1440" w:bottom="1440" w:left="1440" w:header="289"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FF852" w14:textId="77777777" w:rsidR="00665B85" w:rsidRDefault="00665B85" w:rsidP="005744FB">
      <w:r>
        <w:separator/>
      </w:r>
    </w:p>
  </w:endnote>
  <w:endnote w:type="continuationSeparator" w:id="0">
    <w:p w14:paraId="51C26970" w14:textId="77777777" w:rsidR="00665B85" w:rsidRDefault="00665B85" w:rsidP="0057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0F1F" w14:textId="77777777" w:rsidR="00665B85" w:rsidRDefault="00665B85" w:rsidP="005744FB">
      <w:r>
        <w:separator/>
      </w:r>
    </w:p>
  </w:footnote>
  <w:footnote w:type="continuationSeparator" w:id="0">
    <w:p w14:paraId="177A29EA" w14:textId="77777777" w:rsidR="00665B85" w:rsidRDefault="00665B85" w:rsidP="00574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D0C"/>
    <w:multiLevelType w:val="singleLevel"/>
    <w:tmpl w:val="3EE89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32011"/>
    <w:multiLevelType w:val="singleLevel"/>
    <w:tmpl w:val="95C4E9B4"/>
    <w:lvl w:ilvl="0">
      <w:start w:val="6"/>
      <w:numFmt w:val="decimal"/>
      <w:lvlText w:val="%1."/>
      <w:lvlJc w:val="left"/>
      <w:pPr>
        <w:tabs>
          <w:tab w:val="num" w:pos="360"/>
        </w:tabs>
        <w:ind w:left="360" w:hanging="360"/>
      </w:pPr>
      <w:rPr>
        <w:rFonts w:hint="default"/>
      </w:rPr>
    </w:lvl>
  </w:abstractNum>
  <w:abstractNum w:abstractNumId="2" w15:restartNumberingAfterBreak="0">
    <w:nsid w:val="03893B67"/>
    <w:multiLevelType w:val="hybridMultilevel"/>
    <w:tmpl w:val="447CB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623723"/>
    <w:multiLevelType w:val="hybridMultilevel"/>
    <w:tmpl w:val="E2DCD8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BC23C79"/>
    <w:multiLevelType w:val="hybridMultilevel"/>
    <w:tmpl w:val="70CCD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1368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345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632A8C"/>
    <w:multiLevelType w:val="hybridMultilevel"/>
    <w:tmpl w:val="07EEA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C44607"/>
    <w:multiLevelType w:val="hybridMultilevel"/>
    <w:tmpl w:val="97E0E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DD49BC"/>
    <w:multiLevelType w:val="hybridMultilevel"/>
    <w:tmpl w:val="C9F0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35DC"/>
    <w:multiLevelType w:val="hybridMultilevel"/>
    <w:tmpl w:val="137E154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022765"/>
    <w:multiLevelType w:val="hybridMultilevel"/>
    <w:tmpl w:val="8B1C1D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C7E09A9"/>
    <w:multiLevelType w:val="hybridMultilevel"/>
    <w:tmpl w:val="A87C1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F745D"/>
    <w:multiLevelType w:val="hybridMultilevel"/>
    <w:tmpl w:val="EA58BD2C"/>
    <w:lvl w:ilvl="0" w:tplc="F578949E">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1A67613"/>
    <w:multiLevelType w:val="hybridMultilevel"/>
    <w:tmpl w:val="048A7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8C4B0E"/>
    <w:multiLevelType w:val="hybridMultilevel"/>
    <w:tmpl w:val="E962D0F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6C3FBA"/>
    <w:multiLevelType w:val="hybridMultilevel"/>
    <w:tmpl w:val="067291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F486C"/>
    <w:multiLevelType w:val="hybridMultilevel"/>
    <w:tmpl w:val="45F0553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BBE2FA2"/>
    <w:multiLevelType w:val="multilevel"/>
    <w:tmpl w:val="20BE7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9201CF"/>
    <w:multiLevelType w:val="hybridMultilevel"/>
    <w:tmpl w:val="36E68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3E22FC"/>
    <w:multiLevelType w:val="multilevel"/>
    <w:tmpl w:val="CB2E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95483B"/>
    <w:multiLevelType w:val="hybridMultilevel"/>
    <w:tmpl w:val="0F2A40B2"/>
    <w:lvl w:ilvl="0" w:tplc="4F0E5EF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83DD1"/>
    <w:multiLevelType w:val="hybridMultilevel"/>
    <w:tmpl w:val="47CE232A"/>
    <w:lvl w:ilvl="0" w:tplc="0B0412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248FE"/>
    <w:multiLevelType w:val="hybridMultilevel"/>
    <w:tmpl w:val="E9D66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6D7F37"/>
    <w:multiLevelType w:val="hybridMultilevel"/>
    <w:tmpl w:val="6AEEA778"/>
    <w:lvl w:ilvl="0" w:tplc="B21C8E4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060952"/>
    <w:multiLevelType w:val="hybridMultilevel"/>
    <w:tmpl w:val="80A25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6F1DFB"/>
    <w:multiLevelType w:val="multilevel"/>
    <w:tmpl w:val="CE88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C53EDF"/>
    <w:multiLevelType w:val="multilevel"/>
    <w:tmpl w:val="84B0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1724B2"/>
    <w:multiLevelType w:val="hybridMultilevel"/>
    <w:tmpl w:val="06AE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8778A"/>
    <w:multiLevelType w:val="hybridMultilevel"/>
    <w:tmpl w:val="72025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955F6D"/>
    <w:multiLevelType w:val="multilevel"/>
    <w:tmpl w:val="54FE2CF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BB90D2E"/>
    <w:multiLevelType w:val="multilevel"/>
    <w:tmpl w:val="AA76EF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72426A"/>
    <w:multiLevelType w:val="hybridMultilevel"/>
    <w:tmpl w:val="58EA6A54"/>
    <w:lvl w:ilvl="0" w:tplc="9626C8B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6275D9"/>
    <w:multiLevelType w:val="hybridMultilevel"/>
    <w:tmpl w:val="160C48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FA744F7"/>
    <w:multiLevelType w:val="hybridMultilevel"/>
    <w:tmpl w:val="10E0C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0461994"/>
    <w:multiLevelType w:val="multilevel"/>
    <w:tmpl w:val="E850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00046F"/>
    <w:multiLevelType w:val="hybridMultilevel"/>
    <w:tmpl w:val="B986FEB8"/>
    <w:lvl w:ilvl="0" w:tplc="5792FFF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1C47A1"/>
    <w:multiLevelType w:val="multilevel"/>
    <w:tmpl w:val="C78CFB8E"/>
    <w:lvl w:ilvl="0">
      <w:start w:val="3"/>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7C13313"/>
    <w:multiLevelType w:val="hybridMultilevel"/>
    <w:tmpl w:val="BDBC7F20"/>
    <w:lvl w:ilvl="0" w:tplc="EFE0E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CD3673"/>
    <w:multiLevelType w:val="multilevel"/>
    <w:tmpl w:val="1BFE3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6DAE7EDD"/>
    <w:multiLevelType w:val="hybridMultilevel"/>
    <w:tmpl w:val="8B3017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6EC078A4"/>
    <w:multiLevelType w:val="hybridMultilevel"/>
    <w:tmpl w:val="09486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0B63EB1"/>
    <w:multiLevelType w:val="hybridMultilevel"/>
    <w:tmpl w:val="B3264D2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72241CD3"/>
    <w:multiLevelType w:val="multilevel"/>
    <w:tmpl w:val="9994735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41231FE"/>
    <w:multiLevelType w:val="hybridMultilevel"/>
    <w:tmpl w:val="1C2C03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75DC5648"/>
    <w:multiLevelType w:val="hybridMultilevel"/>
    <w:tmpl w:val="8F6C8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6817F41"/>
    <w:multiLevelType w:val="multilevel"/>
    <w:tmpl w:val="798A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823498"/>
    <w:multiLevelType w:val="singleLevel"/>
    <w:tmpl w:val="C5C227E6"/>
    <w:lvl w:ilvl="0">
      <w:start w:val="7"/>
      <w:numFmt w:val="decimal"/>
      <w:lvlText w:val="%1."/>
      <w:lvlJc w:val="left"/>
      <w:pPr>
        <w:tabs>
          <w:tab w:val="num" w:pos="360"/>
        </w:tabs>
        <w:ind w:left="360" w:hanging="360"/>
      </w:pPr>
    </w:lvl>
  </w:abstractNum>
  <w:abstractNum w:abstractNumId="48" w15:restartNumberingAfterBreak="0">
    <w:nsid w:val="785D58AE"/>
    <w:multiLevelType w:val="hybridMultilevel"/>
    <w:tmpl w:val="857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FE7561"/>
    <w:multiLevelType w:val="hybridMultilevel"/>
    <w:tmpl w:val="913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D701EC"/>
    <w:multiLevelType w:val="multilevel"/>
    <w:tmpl w:val="A70C2BD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96140920">
    <w:abstractNumId w:val="14"/>
  </w:num>
  <w:num w:numId="2" w16cid:durableId="300578206">
    <w:abstractNumId w:val="23"/>
  </w:num>
  <w:num w:numId="3" w16cid:durableId="663900788">
    <w:abstractNumId w:val="8"/>
  </w:num>
  <w:num w:numId="4" w16cid:durableId="194852281">
    <w:abstractNumId w:val="25"/>
  </w:num>
  <w:num w:numId="5" w16cid:durableId="1012999128">
    <w:abstractNumId w:val="33"/>
  </w:num>
  <w:num w:numId="6" w16cid:durableId="1007827796">
    <w:abstractNumId w:val="0"/>
  </w:num>
  <w:num w:numId="7" w16cid:durableId="475146602">
    <w:abstractNumId w:val="1"/>
  </w:num>
  <w:num w:numId="8" w16cid:durableId="1307246773">
    <w:abstractNumId w:val="5"/>
  </w:num>
  <w:num w:numId="9" w16cid:durableId="1361129642">
    <w:abstractNumId w:val="47"/>
  </w:num>
  <w:num w:numId="10" w16cid:durableId="614748926">
    <w:abstractNumId w:val="39"/>
  </w:num>
  <w:num w:numId="11" w16cid:durableId="1138034996">
    <w:abstractNumId w:val="37"/>
  </w:num>
  <w:num w:numId="12" w16cid:durableId="1813019408">
    <w:abstractNumId w:val="43"/>
  </w:num>
  <w:num w:numId="13" w16cid:durableId="821313382">
    <w:abstractNumId w:val="19"/>
  </w:num>
  <w:num w:numId="14" w16cid:durableId="1594128794">
    <w:abstractNumId w:val="12"/>
  </w:num>
  <w:num w:numId="15" w16cid:durableId="404307524">
    <w:abstractNumId w:val="6"/>
  </w:num>
  <w:num w:numId="16" w16cid:durableId="529953118">
    <w:abstractNumId w:val="30"/>
  </w:num>
  <w:num w:numId="17" w16cid:durableId="184176985">
    <w:abstractNumId w:val="13"/>
  </w:num>
  <w:num w:numId="18" w16cid:durableId="603273281">
    <w:abstractNumId w:val="4"/>
  </w:num>
  <w:num w:numId="19" w16cid:durableId="1166823263">
    <w:abstractNumId w:val="45"/>
  </w:num>
  <w:num w:numId="20" w16cid:durableId="542133163">
    <w:abstractNumId w:val="16"/>
  </w:num>
  <w:num w:numId="21" w16cid:durableId="1824273679">
    <w:abstractNumId w:val="10"/>
  </w:num>
  <w:num w:numId="22" w16cid:durableId="642589112">
    <w:abstractNumId w:val="7"/>
  </w:num>
  <w:num w:numId="23" w16cid:durableId="8414768">
    <w:abstractNumId w:val="49"/>
  </w:num>
  <w:num w:numId="24" w16cid:durableId="222109942">
    <w:abstractNumId w:val="50"/>
  </w:num>
  <w:num w:numId="25" w16cid:durableId="1353189848">
    <w:abstractNumId w:val="36"/>
  </w:num>
  <w:num w:numId="26" w16cid:durableId="708846512">
    <w:abstractNumId w:val="38"/>
  </w:num>
  <w:num w:numId="27" w16cid:durableId="67731252">
    <w:abstractNumId w:val="22"/>
  </w:num>
  <w:num w:numId="28" w16cid:durableId="1299805051">
    <w:abstractNumId w:val="9"/>
  </w:num>
  <w:num w:numId="29" w16cid:durableId="1772897616">
    <w:abstractNumId w:val="42"/>
  </w:num>
  <w:num w:numId="30" w16cid:durableId="1721130484">
    <w:abstractNumId w:val="3"/>
  </w:num>
  <w:num w:numId="31" w16cid:durableId="1120759960">
    <w:abstractNumId w:val="40"/>
  </w:num>
  <w:num w:numId="32" w16cid:durableId="203519264">
    <w:abstractNumId w:val="11"/>
  </w:num>
  <w:num w:numId="33" w16cid:durableId="168714133">
    <w:abstractNumId w:val="17"/>
  </w:num>
  <w:num w:numId="34" w16cid:durableId="1781073444">
    <w:abstractNumId w:val="44"/>
  </w:num>
  <w:num w:numId="35" w16cid:durableId="1902867071">
    <w:abstractNumId w:val="28"/>
  </w:num>
  <w:num w:numId="36" w16cid:durableId="1938639736">
    <w:abstractNumId w:val="32"/>
  </w:num>
  <w:num w:numId="37" w16cid:durableId="1830442485">
    <w:abstractNumId w:val="48"/>
  </w:num>
  <w:num w:numId="38" w16cid:durableId="40443625">
    <w:abstractNumId w:val="21"/>
  </w:num>
  <w:num w:numId="39" w16cid:durableId="202334179">
    <w:abstractNumId w:val="24"/>
  </w:num>
  <w:num w:numId="40" w16cid:durableId="1089623865">
    <w:abstractNumId w:val="15"/>
  </w:num>
  <w:num w:numId="41" w16cid:durableId="1033460980">
    <w:abstractNumId w:val="29"/>
  </w:num>
  <w:num w:numId="42" w16cid:durableId="537400591">
    <w:abstractNumId w:val="41"/>
  </w:num>
  <w:num w:numId="43" w16cid:durableId="1737900559">
    <w:abstractNumId w:val="34"/>
  </w:num>
  <w:num w:numId="44" w16cid:durableId="1776442684">
    <w:abstractNumId w:val="2"/>
  </w:num>
  <w:num w:numId="45" w16cid:durableId="1939219612">
    <w:abstractNumId w:val="46"/>
  </w:num>
  <w:num w:numId="46" w16cid:durableId="1629235990">
    <w:abstractNumId w:val="20"/>
  </w:num>
  <w:num w:numId="47" w16cid:durableId="1853572184">
    <w:abstractNumId w:val="26"/>
  </w:num>
  <w:num w:numId="48" w16cid:durableId="1958947058">
    <w:abstractNumId w:val="35"/>
  </w:num>
  <w:num w:numId="49" w16cid:durableId="960569796">
    <w:abstractNumId w:val="27"/>
  </w:num>
  <w:num w:numId="50" w16cid:durableId="1617327617">
    <w:abstractNumId w:val="31"/>
  </w:num>
  <w:num w:numId="51" w16cid:durableId="1184244916">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1C"/>
    <w:rsid w:val="00002F0B"/>
    <w:rsid w:val="0000337D"/>
    <w:rsid w:val="00007CAF"/>
    <w:rsid w:val="00011498"/>
    <w:rsid w:val="00015A72"/>
    <w:rsid w:val="0002025E"/>
    <w:rsid w:val="00021C22"/>
    <w:rsid w:val="00022877"/>
    <w:rsid w:val="00031870"/>
    <w:rsid w:val="0003276B"/>
    <w:rsid w:val="00033706"/>
    <w:rsid w:val="0003761C"/>
    <w:rsid w:val="00044276"/>
    <w:rsid w:val="000461E9"/>
    <w:rsid w:val="000473D7"/>
    <w:rsid w:val="0005155F"/>
    <w:rsid w:val="00053220"/>
    <w:rsid w:val="00054E37"/>
    <w:rsid w:val="000553E9"/>
    <w:rsid w:val="000563B4"/>
    <w:rsid w:val="00060F62"/>
    <w:rsid w:val="00061434"/>
    <w:rsid w:val="000667C4"/>
    <w:rsid w:val="000674BC"/>
    <w:rsid w:val="000723F8"/>
    <w:rsid w:val="0007286B"/>
    <w:rsid w:val="00074D88"/>
    <w:rsid w:val="000754E2"/>
    <w:rsid w:val="000778A7"/>
    <w:rsid w:val="00077EDD"/>
    <w:rsid w:val="000803C9"/>
    <w:rsid w:val="00080E1E"/>
    <w:rsid w:val="00083034"/>
    <w:rsid w:val="000840AD"/>
    <w:rsid w:val="000842BC"/>
    <w:rsid w:val="0008464B"/>
    <w:rsid w:val="0008543F"/>
    <w:rsid w:val="00085FE4"/>
    <w:rsid w:val="00091F35"/>
    <w:rsid w:val="00094D75"/>
    <w:rsid w:val="00095C3E"/>
    <w:rsid w:val="000A429B"/>
    <w:rsid w:val="000A5E11"/>
    <w:rsid w:val="000A7185"/>
    <w:rsid w:val="000B2A9E"/>
    <w:rsid w:val="000B5E42"/>
    <w:rsid w:val="000B63A6"/>
    <w:rsid w:val="000B7EF4"/>
    <w:rsid w:val="000C07C6"/>
    <w:rsid w:val="000C0940"/>
    <w:rsid w:val="000C470C"/>
    <w:rsid w:val="000C5032"/>
    <w:rsid w:val="000D4257"/>
    <w:rsid w:val="000D6358"/>
    <w:rsid w:val="000E48ED"/>
    <w:rsid w:val="000E55C3"/>
    <w:rsid w:val="000E666B"/>
    <w:rsid w:val="000E765C"/>
    <w:rsid w:val="000E76FA"/>
    <w:rsid w:val="000F009A"/>
    <w:rsid w:val="000F1E59"/>
    <w:rsid w:val="000F3D4E"/>
    <w:rsid w:val="000F7C17"/>
    <w:rsid w:val="00100E38"/>
    <w:rsid w:val="00105DF8"/>
    <w:rsid w:val="001109B2"/>
    <w:rsid w:val="00110BFD"/>
    <w:rsid w:val="00110CFA"/>
    <w:rsid w:val="0011182C"/>
    <w:rsid w:val="00117780"/>
    <w:rsid w:val="001202A3"/>
    <w:rsid w:val="00120985"/>
    <w:rsid w:val="0012201C"/>
    <w:rsid w:val="001225BD"/>
    <w:rsid w:val="00125CCE"/>
    <w:rsid w:val="0012624A"/>
    <w:rsid w:val="00133530"/>
    <w:rsid w:val="001379E1"/>
    <w:rsid w:val="001451EB"/>
    <w:rsid w:val="001453E0"/>
    <w:rsid w:val="00147368"/>
    <w:rsid w:val="00147629"/>
    <w:rsid w:val="00160799"/>
    <w:rsid w:val="00161F91"/>
    <w:rsid w:val="00164A4A"/>
    <w:rsid w:val="00164E00"/>
    <w:rsid w:val="00166139"/>
    <w:rsid w:val="00172A9B"/>
    <w:rsid w:val="00172B3A"/>
    <w:rsid w:val="00175585"/>
    <w:rsid w:val="001829F5"/>
    <w:rsid w:val="00182C9F"/>
    <w:rsid w:val="00185A02"/>
    <w:rsid w:val="00191335"/>
    <w:rsid w:val="001916C9"/>
    <w:rsid w:val="00192D78"/>
    <w:rsid w:val="00197012"/>
    <w:rsid w:val="001A0B9A"/>
    <w:rsid w:val="001A57CF"/>
    <w:rsid w:val="001A5CBD"/>
    <w:rsid w:val="001B18B5"/>
    <w:rsid w:val="001B2328"/>
    <w:rsid w:val="001B7F1E"/>
    <w:rsid w:val="001C14F1"/>
    <w:rsid w:val="001C434F"/>
    <w:rsid w:val="001C4E3B"/>
    <w:rsid w:val="001C5055"/>
    <w:rsid w:val="001C6821"/>
    <w:rsid w:val="001C6A79"/>
    <w:rsid w:val="001C7D85"/>
    <w:rsid w:val="001D1023"/>
    <w:rsid w:val="001D241F"/>
    <w:rsid w:val="001D45DC"/>
    <w:rsid w:val="001D5EC9"/>
    <w:rsid w:val="001D723E"/>
    <w:rsid w:val="001D7F20"/>
    <w:rsid w:val="001E1CCB"/>
    <w:rsid w:val="001E20F4"/>
    <w:rsid w:val="001E599D"/>
    <w:rsid w:val="001E6DC9"/>
    <w:rsid w:val="001E7B95"/>
    <w:rsid w:val="001F01F1"/>
    <w:rsid w:val="001F4B18"/>
    <w:rsid w:val="001F5D9D"/>
    <w:rsid w:val="00200A15"/>
    <w:rsid w:val="00202BE0"/>
    <w:rsid w:val="00205742"/>
    <w:rsid w:val="00205DCD"/>
    <w:rsid w:val="0021065D"/>
    <w:rsid w:val="00213023"/>
    <w:rsid w:val="00213E31"/>
    <w:rsid w:val="00221898"/>
    <w:rsid w:val="00222CE1"/>
    <w:rsid w:val="00224337"/>
    <w:rsid w:val="002264FF"/>
    <w:rsid w:val="00230EE4"/>
    <w:rsid w:val="002320A7"/>
    <w:rsid w:val="00233169"/>
    <w:rsid w:val="00234B03"/>
    <w:rsid w:val="00240B0C"/>
    <w:rsid w:val="002419BE"/>
    <w:rsid w:val="002436F4"/>
    <w:rsid w:val="002466ED"/>
    <w:rsid w:val="002477C8"/>
    <w:rsid w:val="002522EF"/>
    <w:rsid w:val="002530B9"/>
    <w:rsid w:val="00254368"/>
    <w:rsid w:val="00256A12"/>
    <w:rsid w:val="0025719B"/>
    <w:rsid w:val="00260933"/>
    <w:rsid w:val="00260CB2"/>
    <w:rsid w:val="00260E4B"/>
    <w:rsid w:val="0026190E"/>
    <w:rsid w:val="00265379"/>
    <w:rsid w:val="00273C8C"/>
    <w:rsid w:val="0027577E"/>
    <w:rsid w:val="00277E60"/>
    <w:rsid w:val="00282044"/>
    <w:rsid w:val="002824F7"/>
    <w:rsid w:val="0028265D"/>
    <w:rsid w:val="0028309C"/>
    <w:rsid w:val="00285D3F"/>
    <w:rsid w:val="0028688E"/>
    <w:rsid w:val="00292504"/>
    <w:rsid w:val="00292823"/>
    <w:rsid w:val="00293611"/>
    <w:rsid w:val="00293635"/>
    <w:rsid w:val="00295DA0"/>
    <w:rsid w:val="00296A34"/>
    <w:rsid w:val="00296C59"/>
    <w:rsid w:val="002A4970"/>
    <w:rsid w:val="002A50A9"/>
    <w:rsid w:val="002B3D5C"/>
    <w:rsid w:val="002B79C2"/>
    <w:rsid w:val="002B7EEB"/>
    <w:rsid w:val="002C12C4"/>
    <w:rsid w:val="002C2E58"/>
    <w:rsid w:val="002C4201"/>
    <w:rsid w:val="002C433A"/>
    <w:rsid w:val="002C5693"/>
    <w:rsid w:val="002D11FA"/>
    <w:rsid w:val="002D1923"/>
    <w:rsid w:val="002D25DD"/>
    <w:rsid w:val="002D3990"/>
    <w:rsid w:val="002D402D"/>
    <w:rsid w:val="002D446D"/>
    <w:rsid w:val="002D4F00"/>
    <w:rsid w:val="002D551B"/>
    <w:rsid w:val="002D672F"/>
    <w:rsid w:val="002E0108"/>
    <w:rsid w:val="002E2D6B"/>
    <w:rsid w:val="002E2E70"/>
    <w:rsid w:val="002E4929"/>
    <w:rsid w:val="002E5EFB"/>
    <w:rsid w:val="002E610F"/>
    <w:rsid w:val="002E77D1"/>
    <w:rsid w:val="002F6C8A"/>
    <w:rsid w:val="002F75D9"/>
    <w:rsid w:val="00301085"/>
    <w:rsid w:val="0030539D"/>
    <w:rsid w:val="00310CDA"/>
    <w:rsid w:val="003112A6"/>
    <w:rsid w:val="0031199F"/>
    <w:rsid w:val="0031746A"/>
    <w:rsid w:val="00320E77"/>
    <w:rsid w:val="00322C0E"/>
    <w:rsid w:val="00322E9F"/>
    <w:rsid w:val="003235BB"/>
    <w:rsid w:val="003255BB"/>
    <w:rsid w:val="003255CB"/>
    <w:rsid w:val="003260D8"/>
    <w:rsid w:val="0032749C"/>
    <w:rsid w:val="003316E6"/>
    <w:rsid w:val="00334AB2"/>
    <w:rsid w:val="003366BC"/>
    <w:rsid w:val="00336F7E"/>
    <w:rsid w:val="00343C78"/>
    <w:rsid w:val="00345EF5"/>
    <w:rsid w:val="00346D92"/>
    <w:rsid w:val="00347FC6"/>
    <w:rsid w:val="003548FD"/>
    <w:rsid w:val="003579F1"/>
    <w:rsid w:val="00361BD3"/>
    <w:rsid w:val="00363004"/>
    <w:rsid w:val="003804CA"/>
    <w:rsid w:val="003805A4"/>
    <w:rsid w:val="003807FB"/>
    <w:rsid w:val="00382D18"/>
    <w:rsid w:val="003832DA"/>
    <w:rsid w:val="0038398D"/>
    <w:rsid w:val="003846FC"/>
    <w:rsid w:val="00386A0A"/>
    <w:rsid w:val="00387B8F"/>
    <w:rsid w:val="00387BD4"/>
    <w:rsid w:val="00391F42"/>
    <w:rsid w:val="00396152"/>
    <w:rsid w:val="003A0E32"/>
    <w:rsid w:val="003A102C"/>
    <w:rsid w:val="003A1514"/>
    <w:rsid w:val="003A209D"/>
    <w:rsid w:val="003A3C2B"/>
    <w:rsid w:val="003A6EE8"/>
    <w:rsid w:val="003B3ABA"/>
    <w:rsid w:val="003B54DB"/>
    <w:rsid w:val="003B5EDD"/>
    <w:rsid w:val="003B7D67"/>
    <w:rsid w:val="003C05E8"/>
    <w:rsid w:val="003C3E7C"/>
    <w:rsid w:val="003C4157"/>
    <w:rsid w:val="003C766C"/>
    <w:rsid w:val="003C7E75"/>
    <w:rsid w:val="003D19FA"/>
    <w:rsid w:val="003D551D"/>
    <w:rsid w:val="003D79E6"/>
    <w:rsid w:val="003E01DC"/>
    <w:rsid w:val="003E24C0"/>
    <w:rsid w:val="003E3B3E"/>
    <w:rsid w:val="003E3E3A"/>
    <w:rsid w:val="003E7AD2"/>
    <w:rsid w:val="003F2B15"/>
    <w:rsid w:val="003F5864"/>
    <w:rsid w:val="003F5FF6"/>
    <w:rsid w:val="0040354C"/>
    <w:rsid w:val="004039F4"/>
    <w:rsid w:val="00403A91"/>
    <w:rsid w:val="0040416F"/>
    <w:rsid w:val="004047A6"/>
    <w:rsid w:val="0040692F"/>
    <w:rsid w:val="00406EF3"/>
    <w:rsid w:val="004121C7"/>
    <w:rsid w:val="00415428"/>
    <w:rsid w:val="004161E2"/>
    <w:rsid w:val="0041665D"/>
    <w:rsid w:val="00416B55"/>
    <w:rsid w:val="0041744E"/>
    <w:rsid w:val="004200E4"/>
    <w:rsid w:val="00421155"/>
    <w:rsid w:val="0042290A"/>
    <w:rsid w:val="00424227"/>
    <w:rsid w:val="00426BC1"/>
    <w:rsid w:val="004323A4"/>
    <w:rsid w:val="00436291"/>
    <w:rsid w:val="00440298"/>
    <w:rsid w:val="00446877"/>
    <w:rsid w:val="004539B1"/>
    <w:rsid w:val="00456FA3"/>
    <w:rsid w:val="00464CF9"/>
    <w:rsid w:val="00470325"/>
    <w:rsid w:val="00470BFA"/>
    <w:rsid w:val="00472D17"/>
    <w:rsid w:val="00481EEA"/>
    <w:rsid w:val="00484C86"/>
    <w:rsid w:val="0048657F"/>
    <w:rsid w:val="0049013E"/>
    <w:rsid w:val="0049282F"/>
    <w:rsid w:val="00494891"/>
    <w:rsid w:val="00494F44"/>
    <w:rsid w:val="00494FD9"/>
    <w:rsid w:val="00495BF0"/>
    <w:rsid w:val="004A1632"/>
    <w:rsid w:val="004A2E13"/>
    <w:rsid w:val="004A6204"/>
    <w:rsid w:val="004A67C1"/>
    <w:rsid w:val="004B1BB8"/>
    <w:rsid w:val="004B3457"/>
    <w:rsid w:val="004B593A"/>
    <w:rsid w:val="004B63C4"/>
    <w:rsid w:val="004B7CEF"/>
    <w:rsid w:val="004C0085"/>
    <w:rsid w:val="004C1585"/>
    <w:rsid w:val="004C426E"/>
    <w:rsid w:val="004C6B0D"/>
    <w:rsid w:val="004D0501"/>
    <w:rsid w:val="004D4FD2"/>
    <w:rsid w:val="004D6173"/>
    <w:rsid w:val="004E2748"/>
    <w:rsid w:val="004E4B98"/>
    <w:rsid w:val="004E5DD9"/>
    <w:rsid w:val="004E6D14"/>
    <w:rsid w:val="004F40AA"/>
    <w:rsid w:val="004F4E8E"/>
    <w:rsid w:val="0050238F"/>
    <w:rsid w:val="00503085"/>
    <w:rsid w:val="00504EAC"/>
    <w:rsid w:val="005102E4"/>
    <w:rsid w:val="00515A8F"/>
    <w:rsid w:val="00520B64"/>
    <w:rsid w:val="0052121A"/>
    <w:rsid w:val="0052202B"/>
    <w:rsid w:val="00522C4C"/>
    <w:rsid w:val="00522F18"/>
    <w:rsid w:val="00524685"/>
    <w:rsid w:val="00525C0B"/>
    <w:rsid w:val="00525E1F"/>
    <w:rsid w:val="00526164"/>
    <w:rsid w:val="0052624F"/>
    <w:rsid w:val="00527A64"/>
    <w:rsid w:val="00531569"/>
    <w:rsid w:val="00532A25"/>
    <w:rsid w:val="005334F5"/>
    <w:rsid w:val="005363EA"/>
    <w:rsid w:val="00540ECE"/>
    <w:rsid w:val="00541B83"/>
    <w:rsid w:val="0054419C"/>
    <w:rsid w:val="005450B1"/>
    <w:rsid w:val="00547344"/>
    <w:rsid w:val="0054766C"/>
    <w:rsid w:val="00547C59"/>
    <w:rsid w:val="00550634"/>
    <w:rsid w:val="00551F34"/>
    <w:rsid w:val="00551FAB"/>
    <w:rsid w:val="00553C72"/>
    <w:rsid w:val="00554EBA"/>
    <w:rsid w:val="00555042"/>
    <w:rsid w:val="00557A57"/>
    <w:rsid w:val="00557E45"/>
    <w:rsid w:val="005623DE"/>
    <w:rsid w:val="005668E5"/>
    <w:rsid w:val="00566BC0"/>
    <w:rsid w:val="00570C15"/>
    <w:rsid w:val="00572BE4"/>
    <w:rsid w:val="00572FC3"/>
    <w:rsid w:val="005744FB"/>
    <w:rsid w:val="0058066F"/>
    <w:rsid w:val="00581587"/>
    <w:rsid w:val="00583ABF"/>
    <w:rsid w:val="005918BD"/>
    <w:rsid w:val="005953E9"/>
    <w:rsid w:val="005A43E0"/>
    <w:rsid w:val="005A599A"/>
    <w:rsid w:val="005A7F62"/>
    <w:rsid w:val="005B111A"/>
    <w:rsid w:val="005B4D50"/>
    <w:rsid w:val="005B7A48"/>
    <w:rsid w:val="005C1BE9"/>
    <w:rsid w:val="005C25F3"/>
    <w:rsid w:val="005C3372"/>
    <w:rsid w:val="005C4DCF"/>
    <w:rsid w:val="005C51FA"/>
    <w:rsid w:val="005C53BA"/>
    <w:rsid w:val="005C6B51"/>
    <w:rsid w:val="005D1E27"/>
    <w:rsid w:val="005D49F1"/>
    <w:rsid w:val="005E0513"/>
    <w:rsid w:val="005E5B6D"/>
    <w:rsid w:val="005E63D3"/>
    <w:rsid w:val="005F2FE6"/>
    <w:rsid w:val="005F3710"/>
    <w:rsid w:val="0060335F"/>
    <w:rsid w:val="00604CF5"/>
    <w:rsid w:val="00610567"/>
    <w:rsid w:val="0061392D"/>
    <w:rsid w:val="00617741"/>
    <w:rsid w:val="00623189"/>
    <w:rsid w:val="00623AA6"/>
    <w:rsid w:val="00624EB9"/>
    <w:rsid w:val="006250B2"/>
    <w:rsid w:val="0062593F"/>
    <w:rsid w:val="00631BFC"/>
    <w:rsid w:val="00631C30"/>
    <w:rsid w:val="0063639A"/>
    <w:rsid w:val="00641254"/>
    <w:rsid w:val="00641858"/>
    <w:rsid w:val="006425B7"/>
    <w:rsid w:val="006440FF"/>
    <w:rsid w:val="00644A98"/>
    <w:rsid w:val="00650117"/>
    <w:rsid w:val="00652CF1"/>
    <w:rsid w:val="00661757"/>
    <w:rsid w:val="00662131"/>
    <w:rsid w:val="00664151"/>
    <w:rsid w:val="00665B85"/>
    <w:rsid w:val="00667DA5"/>
    <w:rsid w:val="0067145C"/>
    <w:rsid w:val="00671CA7"/>
    <w:rsid w:val="00671CD6"/>
    <w:rsid w:val="00672C22"/>
    <w:rsid w:val="00682379"/>
    <w:rsid w:val="00685108"/>
    <w:rsid w:val="00685EB2"/>
    <w:rsid w:val="0069059B"/>
    <w:rsid w:val="00690CC3"/>
    <w:rsid w:val="0069466F"/>
    <w:rsid w:val="00696107"/>
    <w:rsid w:val="006A2FEA"/>
    <w:rsid w:val="006B1280"/>
    <w:rsid w:val="006B2104"/>
    <w:rsid w:val="006B3802"/>
    <w:rsid w:val="006B44B1"/>
    <w:rsid w:val="006B598B"/>
    <w:rsid w:val="006B6D20"/>
    <w:rsid w:val="006B7AA7"/>
    <w:rsid w:val="006C414E"/>
    <w:rsid w:val="006C46BA"/>
    <w:rsid w:val="006D12BE"/>
    <w:rsid w:val="006E1DF8"/>
    <w:rsid w:val="006E350C"/>
    <w:rsid w:val="006E3733"/>
    <w:rsid w:val="006E5CDF"/>
    <w:rsid w:val="006F7E33"/>
    <w:rsid w:val="00701507"/>
    <w:rsid w:val="00702700"/>
    <w:rsid w:val="007050DC"/>
    <w:rsid w:val="00706859"/>
    <w:rsid w:val="007070B8"/>
    <w:rsid w:val="00710FFC"/>
    <w:rsid w:val="0071249D"/>
    <w:rsid w:val="00713954"/>
    <w:rsid w:val="00713A43"/>
    <w:rsid w:val="00715336"/>
    <w:rsid w:val="00715D12"/>
    <w:rsid w:val="007172C7"/>
    <w:rsid w:val="00723836"/>
    <w:rsid w:val="00725DB9"/>
    <w:rsid w:val="00725F77"/>
    <w:rsid w:val="00726999"/>
    <w:rsid w:val="00733092"/>
    <w:rsid w:val="00733F46"/>
    <w:rsid w:val="007344AE"/>
    <w:rsid w:val="0074185B"/>
    <w:rsid w:val="00745518"/>
    <w:rsid w:val="007478A1"/>
    <w:rsid w:val="0075682F"/>
    <w:rsid w:val="00760CFF"/>
    <w:rsid w:val="00761C09"/>
    <w:rsid w:val="00762F24"/>
    <w:rsid w:val="0076359F"/>
    <w:rsid w:val="00763D0E"/>
    <w:rsid w:val="007646FB"/>
    <w:rsid w:val="0076513D"/>
    <w:rsid w:val="00765953"/>
    <w:rsid w:val="0077013C"/>
    <w:rsid w:val="00770859"/>
    <w:rsid w:val="00780E79"/>
    <w:rsid w:val="00782246"/>
    <w:rsid w:val="00784D5F"/>
    <w:rsid w:val="00785510"/>
    <w:rsid w:val="00794282"/>
    <w:rsid w:val="007A591F"/>
    <w:rsid w:val="007A6187"/>
    <w:rsid w:val="007B0AD2"/>
    <w:rsid w:val="007B5152"/>
    <w:rsid w:val="007B5F7A"/>
    <w:rsid w:val="007B5FB1"/>
    <w:rsid w:val="007B7A9B"/>
    <w:rsid w:val="007C1CD6"/>
    <w:rsid w:val="007C33C4"/>
    <w:rsid w:val="007C659A"/>
    <w:rsid w:val="007C74BA"/>
    <w:rsid w:val="007C7B54"/>
    <w:rsid w:val="007D18AD"/>
    <w:rsid w:val="007D2CF6"/>
    <w:rsid w:val="007E1C25"/>
    <w:rsid w:val="007E2FB6"/>
    <w:rsid w:val="007E502D"/>
    <w:rsid w:val="007E686D"/>
    <w:rsid w:val="007E7112"/>
    <w:rsid w:val="007F05F7"/>
    <w:rsid w:val="007F1373"/>
    <w:rsid w:val="007F1562"/>
    <w:rsid w:val="007F1FF6"/>
    <w:rsid w:val="007F2504"/>
    <w:rsid w:val="007F5B3F"/>
    <w:rsid w:val="007F7114"/>
    <w:rsid w:val="0080463B"/>
    <w:rsid w:val="00812883"/>
    <w:rsid w:val="00813B56"/>
    <w:rsid w:val="00820E5F"/>
    <w:rsid w:val="008228A7"/>
    <w:rsid w:val="00823216"/>
    <w:rsid w:val="00825A79"/>
    <w:rsid w:val="00831021"/>
    <w:rsid w:val="00832281"/>
    <w:rsid w:val="00840776"/>
    <w:rsid w:val="008408DE"/>
    <w:rsid w:val="00841EB1"/>
    <w:rsid w:val="00842E82"/>
    <w:rsid w:val="0084404B"/>
    <w:rsid w:val="0085220F"/>
    <w:rsid w:val="0085406D"/>
    <w:rsid w:val="0085435B"/>
    <w:rsid w:val="008543C1"/>
    <w:rsid w:val="00855327"/>
    <w:rsid w:val="0086091D"/>
    <w:rsid w:val="00860FB4"/>
    <w:rsid w:val="00862F3E"/>
    <w:rsid w:val="008650B8"/>
    <w:rsid w:val="008658D9"/>
    <w:rsid w:val="00866965"/>
    <w:rsid w:val="008677E1"/>
    <w:rsid w:val="0087096E"/>
    <w:rsid w:val="00872790"/>
    <w:rsid w:val="00875042"/>
    <w:rsid w:val="0087507E"/>
    <w:rsid w:val="00875842"/>
    <w:rsid w:val="00875DF4"/>
    <w:rsid w:val="00876431"/>
    <w:rsid w:val="00876FED"/>
    <w:rsid w:val="008816BF"/>
    <w:rsid w:val="00885928"/>
    <w:rsid w:val="0089048B"/>
    <w:rsid w:val="008A0ADD"/>
    <w:rsid w:val="008A15D3"/>
    <w:rsid w:val="008A2D13"/>
    <w:rsid w:val="008B074D"/>
    <w:rsid w:val="008B0E6C"/>
    <w:rsid w:val="008B1585"/>
    <w:rsid w:val="008B2D71"/>
    <w:rsid w:val="008B7A1B"/>
    <w:rsid w:val="008C55BA"/>
    <w:rsid w:val="008C66F0"/>
    <w:rsid w:val="008D1197"/>
    <w:rsid w:val="008D2E27"/>
    <w:rsid w:val="008D5B55"/>
    <w:rsid w:val="008D6509"/>
    <w:rsid w:val="008E0677"/>
    <w:rsid w:val="008E3BC9"/>
    <w:rsid w:val="008E3DEC"/>
    <w:rsid w:val="008E6256"/>
    <w:rsid w:val="008F111A"/>
    <w:rsid w:val="008F1576"/>
    <w:rsid w:val="008F67EC"/>
    <w:rsid w:val="008F6A10"/>
    <w:rsid w:val="009007E9"/>
    <w:rsid w:val="00911A21"/>
    <w:rsid w:val="00911F4A"/>
    <w:rsid w:val="00913EE0"/>
    <w:rsid w:val="00916C1B"/>
    <w:rsid w:val="0092143E"/>
    <w:rsid w:val="0092265F"/>
    <w:rsid w:val="0092332D"/>
    <w:rsid w:val="00924208"/>
    <w:rsid w:val="0092436B"/>
    <w:rsid w:val="00925648"/>
    <w:rsid w:val="00926889"/>
    <w:rsid w:val="009312B1"/>
    <w:rsid w:val="009327DF"/>
    <w:rsid w:val="00934225"/>
    <w:rsid w:val="009346E6"/>
    <w:rsid w:val="00934E14"/>
    <w:rsid w:val="00947B39"/>
    <w:rsid w:val="00947E48"/>
    <w:rsid w:val="009504B0"/>
    <w:rsid w:val="00952D26"/>
    <w:rsid w:val="009538A0"/>
    <w:rsid w:val="00962B3C"/>
    <w:rsid w:val="00962DA1"/>
    <w:rsid w:val="0096765D"/>
    <w:rsid w:val="0096772A"/>
    <w:rsid w:val="00972A2A"/>
    <w:rsid w:val="00974239"/>
    <w:rsid w:val="009748D6"/>
    <w:rsid w:val="00977A87"/>
    <w:rsid w:val="009806FA"/>
    <w:rsid w:val="00990A4A"/>
    <w:rsid w:val="009938D7"/>
    <w:rsid w:val="0099536A"/>
    <w:rsid w:val="009962E9"/>
    <w:rsid w:val="00996561"/>
    <w:rsid w:val="00996F0B"/>
    <w:rsid w:val="009970A1"/>
    <w:rsid w:val="009A0BD8"/>
    <w:rsid w:val="009A10A8"/>
    <w:rsid w:val="009A4C79"/>
    <w:rsid w:val="009A725B"/>
    <w:rsid w:val="009A7E5D"/>
    <w:rsid w:val="009B52DC"/>
    <w:rsid w:val="009B5B15"/>
    <w:rsid w:val="009C0E24"/>
    <w:rsid w:val="009C4B00"/>
    <w:rsid w:val="009C7D18"/>
    <w:rsid w:val="009D3BA1"/>
    <w:rsid w:val="009D4325"/>
    <w:rsid w:val="009D6400"/>
    <w:rsid w:val="009D6FB9"/>
    <w:rsid w:val="009E19B7"/>
    <w:rsid w:val="009E2447"/>
    <w:rsid w:val="009E2BC6"/>
    <w:rsid w:val="009E719E"/>
    <w:rsid w:val="009E7312"/>
    <w:rsid w:val="009E7651"/>
    <w:rsid w:val="009F0F06"/>
    <w:rsid w:val="00A016BD"/>
    <w:rsid w:val="00A12001"/>
    <w:rsid w:val="00A12C89"/>
    <w:rsid w:val="00A13B3C"/>
    <w:rsid w:val="00A16B18"/>
    <w:rsid w:val="00A17453"/>
    <w:rsid w:val="00A2158F"/>
    <w:rsid w:val="00A21D69"/>
    <w:rsid w:val="00A228CB"/>
    <w:rsid w:val="00A23E4B"/>
    <w:rsid w:val="00A24B2D"/>
    <w:rsid w:val="00A25AF3"/>
    <w:rsid w:val="00A26CA8"/>
    <w:rsid w:val="00A26CBD"/>
    <w:rsid w:val="00A363AA"/>
    <w:rsid w:val="00A442EC"/>
    <w:rsid w:val="00A450C8"/>
    <w:rsid w:val="00A5235B"/>
    <w:rsid w:val="00A5287A"/>
    <w:rsid w:val="00A534DB"/>
    <w:rsid w:val="00A53BA0"/>
    <w:rsid w:val="00A5564F"/>
    <w:rsid w:val="00A61659"/>
    <w:rsid w:val="00A61B28"/>
    <w:rsid w:val="00A64BB7"/>
    <w:rsid w:val="00A668AA"/>
    <w:rsid w:val="00A66D5A"/>
    <w:rsid w:val="00A67E10"/>
    <w:rsid w:val="00A7151A"/>
    <w:rsid w:val="00A72FDC"/>
    <w:rsid w:val="00A75359"/>
    <w:rsid w:val="00A7584D"/>
    <w:rsid w:val="00A8035A"/>
    <w:rsid w:val="00A80ACE"/>
    <w:rsid w:val="00A818A2"/>
    <w:rsid w:val="00A83A4D"/>
    <w:rsid w:val="00A86A20"/>
    <w:rsid w:val="00A901F1"/>
    <w:rsid w:val="00A91F89"/>
    <w:rsid w:val="00A93AB5"/>
    <w:rsid w:val="00A93CF2"/>
    <w:rsid w:val="00A95F0E"/>
    <w:rsid w:val="00A96215"/>
    <w:rsid w:val="00AA25DB"/>
    <w:rsid w:val="00AA4942"/>
    <w:rsid w:val="00AA66B6"/>
    <w:rsid w:val="00AA6A0C"/>
    <w:rsid w:val="00AA6B31"/>
    <w:rsid w:val="00AB10C4"/>
    <w:rsid w:val="00AB250F"/>
    <w:rsid w:val="00AB2B1C"/>
    <w:rsid w:val="00AB60DD"/>
    <w:rsid w:val="00AC3E70"/>
    <w:rsid w:val="00AC486E"/>
    <w:rsid w:val="00AD1FE0"/>
    <w:rsid w:val="00AD5512"/>
    <w:rsid w:val="00AD58BC"/>
    <w:rsid w:val="00AD6F2D"/>
    <w:rsid w:val="00AE0CA6"/>
    <w:rsid w:val="00AE5BC5"/>
    <w:rsid w:val="00AF5DD6"/>
    <w:rsid w:val="00B00C5B"/>
    <w:rsid w:val="00B05B24"/>
    <w:rsid w:val="00B06488"/>
    <w:rsid w:val="00B06B21"/>
    <w:rsid w:val="00B0756D"/>
    <w:rsid w:val="00B07ED7"/>
    <w:rsid w:val="00B17CB9"/>
    <w:rsid w:val="00B17D17"/>
    <w:rsid w:val="00B20AA4"/>
    <w:rsid w:val="00B21287"/>
    <w:rsid w:val="00B22FE4"/>
    <w:rsid w:val="00B23024"/>
    <w:rsid w:val="00B2676D"/>
    <w:rsid w:val="00B27963"/>
    <w:rsid w:val="00B32D57"/>
    <w:rsid w:val="00B34B13"/>
    <w:rsid w:val="00B37F33"/>
    <w:rsid w:val="00B40FB6"/>
    <w:rsid w:val="00B413EA"/>
    <w:rsid w:val="00B52971"/>
    <w:rsid w:val="00B61513"/>
    <w:rsid w:val="00B64230"/>
    <w:rsid w:val="00B64751"/>
    <w:rsid w:val="00B64C88"/>
    <w:rsid w:val="00B66BAD"/>
    <w:rsid w:val="00B678AA"/>
    <w:rsid w:val="00B822BF"/>
    <w:rsid w:val="00B85AAE"/>
    <w:rsid w:val="00B85DF6"/>
    <w:rsid w:val="00B91938"/>
    <w:rsid w:val="00B965F5"/>
    <w:rsid w:val="00BA18B7"/>
    <w:rsid w:val="00BA36A9"/>
    <w:rsid w:val="00BA5766"/>
    <w:rsid w:val="00BA62A7"/>
    <w:rsid w:val="00BA67BF"/>
    <w:rsid w:val="00BA6A72"/>
    <w:rsid w:val="00BA79DC"/>
    <w:rsid w:val="00BA7DD3"/>
    <w:rsid w:val="00BB0EEC"/>
    <w:rsid w:val="00BB1233"/>
    <w:rsid w:val="00BB4824"/>
    <w:rsid w:val="00BB647D"/>
    <w:rsid w:val="00BC15E5"/>
    <w:rsid w:val="00BC25BA"/>
    <w:rsid w:val="00BC5140"/>
    <w:rsid w:val="00BC6C2A"/>
    <w:rsid w:val="00BD19E4"/>
    <w:rsid w:val="00BD26D1"/>
    <w:rsid w:val="00BD5D1C"/>
    <w:rsid w:val="00BD79EC"/>
    <w:rsid w:val="00BE05CC"/>
    <w:rsid w:val="00BE177D"/>
    <w:rsid w:val="00BE270B"/>
    <w:rsid w:val="00BF536D"/>
    <w:rsid w:val="00BF5A37"/>
    <w:rsid w:val="00BF5AB2"/>
    <w:rsid w:val="00C01A08"/>
    <w:rsid w:val="00C02B37"/>
    <w:rsid w:val="00C04AAA"/>
    <w:rsid w:val="00C2022D"/>
    <w:rsid w:val="00C2036F"/>
    <w:rsid w:val="00C22DE7"/>
    <w:rsid w:val="00C25052"/>
    <w:rsid w:val="00C250F4"/>
    <w:rsid w:val="00C27E7A"/>
    <w:rsid w:val="00C30664"/>
    <w:rsid w:val="00C34D58"/>
    <w:rsid w:val="00C3765B"/>
    <w:rsid w:val="00C4179D"/>
    <w:rsid w:val="00C44281"/>
    <w:rsid w:val="00C47F0B"/>
    <w:rsid w:val="00C47F4D"/>
    <w:rsid w:val="00C50403"/>
    <w:rsid w:val="00C51E8C"/>
    <w:rsid w:val="00C55AAD"/>
    <w:rsid w:val="00C55F5A"/>
    <w:rsid w:val="00C56116"/>
    <w:rsid w:val="00C57281"/>
    <w:rsid w:val="00C57E43"/>
    <w:rsid w:val="00C608FD"/>
    <w:rsid w:val="00C643FF"/>
    <w:rsid w:val="00C652A4"/>
    <w:rsid w:val="00C67933"/>
    <w:rsid w:val="00C67CE9"/>
    <w:rsid w:val="00C71A54"/>
    <w:rsid w:val="00C7218A"/>
    <w:rsid w:val="00C756C7"/>
    <w:rsid w:val="00C775F0"/>
    <w:rsid w:val="00C77B24"/>
    <w:rsid w:val="00C81958"/>
    <w:rsid w:val="00C85ACD"/>
    <w:rsid w:val="00C85AF7"/>
    <w:rsid w:val="00C92D15"/>
    <w:rsid w:val="00C94F97"/>
    <w:rsid w:val="00C957C7"/>
    <w:rsid w:val="00CA11FE"/>
    <w:rsid w:val="00CA212D"/>
    <w:rsid w:val="00CB0154"/>
    <w:rsid w:val="00CB37B8"/>
    <w:rsid w:val="00CB7D91"/>
    <w:rsid w:val="00CC036F"/>
    <w:rsid w:val="00CC4AAC"/>
    <w:rsid w:val="00CC5F22"/>
    <w:rsid w:val="00CD320D"/>
    <w:rsid w:val="00CD4B48"/>
    <w:rsid w:val="00CD5510"/>
    <w:rsid w:val="00CD5CA0"/>
    <w:rsid w:val="00CD6789"/>
    <w:rsid w:val="00CE232E"/>
    <w:rsid w:val="00CE255B"/>
    <w:rsid w:val="00CE33BC"/>
    <w:rsid w:val="00CE3784"/>
    <w:rsid w:val="00CE525B"/>
    <w:rsid w:val="00CF01C7"/>
    <w:rsid w:val="00CF2F18"/>
    <w:rsid w:val="00CF3989"/>
    <w:rsid w:val="00CF3C64"/>
    <w:rsid w:val="00CF4181"/>
    <w:rsid w:val="00CF5BDC"/>
    <w:rsid w:val="00D02997"/>
    <w:rsid w:val="00D0359C"/>
    <w:rsid w:val="00D06ABF"/>
    <w:rsid w:val="00D06C48"/>
    <w:rsid w:val="00D07F0A"/>
    <w:rsid w:val="00D10FBA"/>
    <w:rsid w:val="00D12EE3"/>
    <w:rsid w:val="00D132B4"/>
    <w:rsid w:val="00D173C6"/>
    <w:rsid w:val="00D2091E"/>
    <w:rsid w:val="00D220F2"/>
    <w:rsid w:val="00D316FC"/>
    <w:rsid w:val="00D31BE8"/>
    <w:rsid w:val="00D32888"/>
    <w:rsid w:val="00D356AA"/>
    <w:rsid w:val="00D35BB7"/>
    <w:rsid w:val="00D426B9"/>
    <w:rsid w:val="00D47492"/>
    <w:rsid w:val="00D55433"/>
    <w:rsid w:val="00D6098A"/>
    <w:rsid w:val="00D67126"/>
    <w:rsid w:val="00D6744F"/>
    <w:rsid w:val="00D76655"/>
    <w:rsid w:val="00D8189D"/>
    <w:rsid w:val="00D838E9"/>
    <w:rsid w:val="00D875C5"/>
    <w:rsid w:val="00D9031B"/>
    <w:rsid w:val="00D9180A"/>
    <w:rsid w:val="00D92404"/>
    <w:rsid w:val="00D952E2"/>
    <w:rsid w:val="00D95AB5"/>
    <w:rsid w:val="00D97252"/>
    <w:rsid w:val="00DA0AED"/>
    <w:rsid w:val="00DA1FA8"/>
    <w:rsid w:val="00DA2375"/>
    <w:rsid w:val="00DA3B90"/>
    <w:rsid w:val="00DA3C2F"/>
    <w:rsid w:val="00DA450B"/>
    <w:rsid w:val="00DA5A61"/>
    <w:rsid w:val="00DA622E"/>
    <w:rsid w:val="00DB1585"/>
    <w:rsid w:val="00DB1F3A"/>
    <w:rsid w:val="00DB62C7"/>
    <w:rsid w:val="00DC0115"/>
    <w:rsid w:val="00DC477A"/>
    <w:rsid w:val="00DD4B2E"/>
    <w:rsid w:val="00DD68CD"/>
    <w:rsid w:val="00DE2938"/>
    <w:rsid w:val="00DE334F"/>
    <w:rsid w:val="00DE4137"/>
    <w:rsid w:val="00DE4739"/>
    <w:rsid w:val="00DE5200"/>
    <w:rsid w:val="00DE7999"/>
    <w:rsid w:val="00DE7C64"/>
    <w:rsid w:val="00DF103A"/>
    <w:rsid w:val="00DF2E7E"/>
    <w:rsid w:val="00DF41CD"/>
    <w:rsid w:val="00DF6949"/>
    <w:rsid w:val="00DF6F67"/>
    <w:rsid w:val="00E01F26"/>
    <w:rsid w:val="00E042C6"/>
    <w:rsid w:val="00E05344"/>
    <w:rsid w:val="00E05892"/>
    <w:rsid w:val="00E17D35"/>
    <w:rsid w:val="00E26812"/>
    <w:rsid w:val="00E3714D"/>
    <w:rsid w:val="00E371F3"/>
    <w:rsid w:val="00E4060F"/>
    <w:rsid w:val="00E44160"/>
    <w:rsid w:val="00E46107"/>
    <w:rsid w:val="00E4684A"/>
    <w:rsid w:val="00E468B7"/>
    <w:rsid w:val="00E468BA"/>
    <w:rsid w:val="00E53B5C"/>
    <w:rsid w:val="00E6463A"/>
    <w:rsid w:val="00E700B5"/>
    <w:rsid w:val="00E71D2A"/>
    <w:rsid w:val="00E84171"/>
    <w:rsid w:val="00E928DA"/>
    <w:rsid w:val="00E934FD"/>
    <w:rsid w:val="00E93EC4"/>
    <w:rsid w:val="00E97CC2"/>
    <w:rsid w:val="00EA0209"/>
    <w:rsid w:val="00EA0BE4"/>
    <w:rsid w:val="00EA22F9"/>
    <w:rsid w:val="00EA2CEC"/>
    <w:rsid w:val="00EA3A26"/>
    <w:rsid w:val="00EA654F"/>
    <w:rsid w:val="00EB23D4"/>
    <w:rsid w:val="00EB5C52"/>
    <w:rsid w:val="00EC3C67"/>
    <w:rsid w:val="00EC7D87"/>
    <w:rsid w:val="00ED150A"/>
    <w:rsid w:val="00ED3C00"/>
    <w:rsid w:val="00ED3CBC"/>
    <w:rsid w:val="00ED4D3C"/>
    <w:rsid w:val="00ED77AC"/>
    <w:rsid w:val="00ED7D40"/>
    <w:rsid w:val="00EE2CFB"/>
    <w:rsid w:val="00EE2E01"/>
    <w:rsid w:val="00EE3147"/>
    <w:rsid w:val="00EE4004"/>
    <w:rsid w:val="00EE648B"/>
    <w:rsid w:val="00EF174F"/>
    <w:rsid w:val="00EF3710"/>
    <w:rsid w:val="00EF423D"/>
    <w:rsid w:val="00EF61BB"/>
    <w:rsid w:val="00EF7780"/>
    <w:rsid w:val="00F01B65"/>
    <w:rsid w:val="00F05062"/>
    <w:rsid w:val="00F0661F"/>
    <w:rsid w:val="00F076E9"/>
    <w:rsid w:val="00F10180"/>
    <w:rsid w:val="00F14B30"/>
    <w:rsid w:val="00F15147"/>
    <w:rsid w:val="00F16738"/>
    <w:rsid w:val="00F17058"/>
    <w:rsid w:val="00F172F1"/>
    <w:rsid w:val="00F235DC"/>
    <w:rsid w:val="00F23FEF"/>
    <w:rsid w:val="00F247C8"/>
    <w:rsid w:val="00F249C2"/>
    <w:rsid w:val="00F26565"/>
    <w:rsid w:val="00F276C3"/>
    <w:rsid w:val="00F30599"/>
    <w:rsid w:val="00F308AF"/>
    <w:rsid w:val="00F406C7"/>
    <w:rsid w:val="00F47624"/>
    <w:rsid w:val="00F5184B"/>
    <w:rsid w:val="00F52DAE"/>
    <w:rsid w:val="00F57172"/>
    <w:rsid w:val="00F57A66"/>
    <w:rsid w:val="00F602DB"/>
    <w:rsid w:val="00F613DC"/>
    <w:rsid w:val="00F6492C"/>
    <w:rsid w:val="00F66994"/>
    <w:rsid w:val="00F67E8B"/>
    <w:rsid w:val="00F70B13"/>
    <w:rsid w:val="00F7348D"/>
    <w:rsid w:val="00F74A2A"/>
    <w:rsid w:val="00F7584B"/>
    <w:rsid w:val="00F7622B"/>
    <w:rsid w:val="00F81E2F"/>
    <w:rsid w:val="00F82C04"/>
    <w:rsid w:val="00F87440"/>
    <w:rsid w:val="00F94B9C"/>
    <w:rsid w:val="00F94C64"/>
    <w:rsid w:val="00FA08EE"/>
    <w:rsid w:val="00FA5D37"/>
    <w:rsid w:val="00FA5F41"/>
    <w:rsid w:val="00FA673E"/>
    <w:rsid w:val="00FB0888"/>
    <w:rsid w:val="00FB097A"/>
    <w:rsid w:val="00FB0F0A"/>
    <w:rsid w:val="00FB1281"/>
    <w:rsid w:val="00FB37B0"/>
    <w:rsid w:val="00FB76A9"/>
    <w:rsid w:val="00FC0F37"/>
    <w:rsid w:val="00FC424F"/>
    <w:rsid w:val="00FC73D5"/>
    <w:rsid w:val="00FD1906"/>
    <w:rsid w:val="00FD35BC"/>
    <w:rsid w:val="00FD5243"/>
    <w:rsid w:val="00FD57E1"/>
    <w:rsid w:val="00FD72C5"/>
    <w:rsid w:val="00FE4519"/>
    <w:rsid w:val="00FE5D08"/>
    <w:rsid w:val="00FE6267"/>
    <w:rsid w:val="00FF06ED"/>
    <w:rsid w:val="00FF0C4A"/>
    <w:rsid w:val="00FF2CA4"/>
    <w:rsid w:val="00FF4D90"/>
    <w:rsid w:val="00FF58D6"/>
    <w:rsid w:val="00FF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66ABF"/>
  <w15:chartTrackingRefBased/>
  <w15:docId w15:val="{9DF0BEB8-7EC8-46FF-A631-38C6CF12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99A"/>
    <w:rPr>
      <w:rFonts w:ascii="Arial" w:hAnsi="Arial"/>
      <w:sz w:val="24"/>
      <w:lang w:eastAsia="en-US"/>
    </w:rPr>
  </w:style>
  <w:style w:type="paragraph" w:styleId="Heading1">
    <w:name w:val="heading 1"/>
    <w:aliases w:val="Main Heading"/>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semiHidden/>
    <w:unhideWhenUsed/>
    <w:qFormat/>
    <w:rsid w:val="00464C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7096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BodyText">
    <w:name w:val="Body Text"/>
    <w:basedOn w:val="Normal"/>
    <w:semiHidden/>
    <w:pPr>
      <w:widowControl w:val="0"/>
      <w:spacing w:after="220" w:line="180" w:lineRule="atLeast"/>
      <w:jc w:val="both"/>
    </w:pPr>
    <w:rPr>
      <w:spacing w:val="-5"/>
      <w:sz w:val="20"/>
    </w:rPr>
  </w:style>
  <w:style w:type="paragraph" w:customStyle="1" w:styleId="indent1">
    <w:name w:val="indent1"/>
    <w:basedOn w:val="Normal"/>
    <w:pPr>
      <w:ind w:left="720" w:hanging="720"/>
    </w:pPr>
    <w:rPr>
      <w:rFonts w:cs="Arial"/>
    </w:rPr>
  </w:style>
  <w:style w:type="character" w:customStyle="1" w:styleId="Heading3Char">
    <w:name w:val="Heading 3 Char"/>
    <w:link w:val="Heading3"/>
    <w:uiPriority w:val="9"/>
    <w:semiHidden/>
    <w:rsid w:val="0087096E"/>
    <w:rPr>
      <w:rFonts w:ascii="Cambria" w:eastAsia="Times New Roman" w:hAnsi="Cambria" w:cs="Times New Roman"/>
      <w:b/>
      <w:bCs/>
      <w:sz w:val="26"/>
      <w:szCs w:val="26"/>
      <w:lang w:eastAsia="en-US"/>
    </w:rPr>
  </w:style>
  <w:style w:type="paragraph" w:styleId="Header">
    <w:name w:val="header"/>
    <w:basedOn w:val="Normal"/>
    <w:link w:val="HeaderChar"/>
    <w:uiPriority w:val="99"/>
    <w:semiHidden/>
    <w:unhideWhenUsed/>
    <w:rsid w:val="005744FB"/>
    <w:pPr>
      <w:tabs>
        <w:tab w:val="center" w:pos="4513"/>
        <w:tab w:val="right" w:pos="9026"/>
      </w:tabs>
    </w:pPr>
  </w:style>
  <w:style w:type="character" w:customStyle="1" w:styleId="HeaderChar">
    <w:name w:val="Header Char"/>
    <w:link w:val="Header"/>
    <w:uiPriority w:val="99"/>
    <w:semiHidden/>
    <w:rsid w:val="005744FB"/>
    <w:rPr>
      <w:rFonts w:ascii="Arial" w:hAnsi="Arial"/>
      <w:sz w:val="24"/>
      <w:lang w:eastAsia="en-US"/>
    </w:rPr>
  </w:style>
  <w:style w:type="paragraph" w:styleId="Footer">
    <w:name w:val="footer"/>
    <w:basedOn w:val="Normal"/>
    <w:link w:val="FooterChar"/>
    <w:unhideWhenUsed/>
    <w:rsid w:val="005744FB"/>
    <w:pPr>
      <w:tabs>
        <w:tab w:val="center" w:pos="4513"/>
        <w:tab w:val="right" w:pos="9026"/>
      </w:tabs>
    </w:pPr>
  </w:style>
  <w:style w:type="character" w:customStyle="1" w:styleId="FooterChar">
    <w:name w:val="Footer Char"/>
    <w:link w:val="Footer"/>
    <w:uiPriority w:val="99"/>
    <w:rsid w:val="005744FB"/>
    <w:rPr>
      <w:rFonts w:ascii="Arial" w:hAnsi="Arial"/>
      <w:sz w:val="24"/>
      <w:lang w:eastAsia="en-US"/>
    </w:rPr>
  </w:style>
  <w:style w:type="paragraph" w:styleId="ListParagraph">
    <w:name w:val="List Paragraph"/>
    <w:basedOn w:val="Normal"/>
    <w:uiPriority w:val="34"/>
    <w:qFormat/>
    <w:rsid w:val="009F0F06"/>
    <w:pPr>
      <w:spacing w:after="200" w:line="276" w:lineRule="auto"/>
      <w:ind w:left="720"/>
    </w:pPr>
    <w:rPr>
      <w:rFonts w:eastAsia="Calibri"/>
      <w:szCs w:val="22"/>
    </w:rPr>
  </w:style>
  <w:style w:type="character" w:customStyle="1" w:styleId="Heading1Char">
    <w:name w:val="Heading 1 Char"/>
    <w:aliases w:val="Main Heading Char"/>
    <w:link w:val="Heading1"/>
    <w:uiPriority w:val="9"/>
    <w:rsid w:val="009F0F06"/>
    <w:rPr>
      <w:rFonts w:ascii="Arial" w:hAnsi="Arial"/>
      <w:b/>
      <w:sz w:val="24"/>
      <w:lang w:eastAsia="en-US"/>
    </w:rPr>
  </w:style>
  <w:style w:type="character" w:styleId="PageNumber">
    <w:name w:val="page number"/>
    <w:rsid w:val="000B5E42"/>
    <w:rPr>
      <w:rFonts w:cs="Times New Roman"/>
    </w:rPr>
  </w:style>
  <w:style w:type="character" w:customStyle="1" w:styleId="Heading2Char">
    <w:name w:val="Heading 2 Char"/>
    <w:link w:val="Heading2"/>
    <w:uiPriority w:val="9"/>
    <w:semiHidden/>
    <w:rsid w:val="00464CF9"/>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uiPriority w:val="99"/>
    <w:semiHidden/>
    <w:unhideWhenUsed/>
    <w:rsid w:val="00464CF9"/>
    <w:pPr>
      <w:spacing w:after="120"/>
      <w:ind w:left="283"/>
    </w:pPr>
  </w:style>
  <w:style w:type="character" w:customStyle="1" w:styleId="BodyTextIndentChar">
    <w:name w:val="Body Text Indent Char"/>
    <w:link w:val="BodyTextIndent"/>
    <w:uiPriority w:val="99"/>
    <w:semiHidden/>
    <w:rsid w:val="00464CF9"/>
    <w:rPr>
      <w:rFonts w:ascii="Arial" w:hAnsi="Arial"/>
      <w:sz w:val="24"/>
      <w:lang w:eastAsia="en-US"/>
    </w:rPr>
  </w:style>
  <w:style w:type="paragraph" w:customStyle="1" w:styleId="BodyText1">
    <w:name w:val="Body Text1"/>
    <w:rsid w:val="000D6358"/>
    <w:pPr>
      <w:spacing w:after="113" w:line="300" w:lineRule="atLeast"/>
    </w:pPr>
    <w:rPr>
      <w:rFonts w:ascii="Arial" w:hAnsi="Arial"/>
      <w:snapToGrid w:val="0"/>
      <w:color w:val="000000"/>
      <w:sz w:val="24"/>
      <w:lang w:val="en-US" w:eastAsia="en-US"/>
    </w:rPr>
  </w:style>
  <w:style w:type="paragraph" w:styleId="NormalWeb">
    <w:name w:val="Normal (Web)"/>
    <w:basedOn w:val="Normal"/>
    <w:semiHidden/>
    <w:rsid w:val="000D6358"/>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uiPriority w:val="59"/>
    <w:rsid w:val="00384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40B0C"/>
    <w:pPr>
      <w:jc w:val="center"/>
    </w:pPr>
    <w:rPr>
      <w:b/>
      <w:sz w:val="28"/>
      <w:u w:val="single"/>
    </w:rPr>
  </w:style>
  <w:style w:type="character" w:customStyle="1" w:styleId="TitleChar">
    <w:name w:val="Title Char"/>
    <w:link w:val="Title"/>
    <w:rsid w:val="00240B0C"/>
    <w:rPr>
      <w:rFonts w:ascii="Arial" w:hAnsi="Arial"/>
      <w:b/>
      <w:sz w:val="28"/>
      <w:u w:val="single"/>
      <w:lang w:eastAsia="en-US"/>
    </w:rPr>
  </w:style>
  <w:style w:type="paragraph" w:styleId="BalloonText">
    <w:name w:val="Balloon Text"/>
    <w:basedOn w:val="Normal"/>
    <w:link w:val="BalloonTextChar"/>
    <w:uiPriority w:val="99"/>
    <w:semiHidden/>
    <w:unhideWhenUsed/>
    <w:rsid w:val="008B2D71"/>
    <w:rPr>
      <w:rFonts w:ascii="Tahoma" w:hAnsi="Tahoma" w:cs="Tahoma"/>
      <w:sz w:val="16"/>
      <w:szCs w:val="16"/>
    </w:rPr>
  </w:style>
  <w:style w:type="character" w:customStyle="1" w:styleId="BalloonTextChar">
    <w:name w:val="Balloon Text Char"/>
    <w:link w:val="BalloonText"/>
    <w:uiPriority w:val="99"/>
    <w:semiHidden/>
    <w:rsid w:val="008B2D71"/>
    <w:rPr>
      <w:rFonts w:ascii="Tahoma" w:hAnsi="Tahoma" w:cs="Tahoma"/>
      <w:sz w:val="16"/>
      <w:szCs w:val="16"/>
      <w:lang w:eastAsia="en-US"/>
    </w:rPr>
  </w:style>
  <w:style w:type="character" w:styleId="Hyperlink">
    <w:name w:val="Hyperlink"/>
    <w:uiPriority w:val="99"/>
    <w:unhideWhenUsed/>
    <w:rsid w:val="00164A4A"/>
    <w:rPr>
      <w:color w:val="0000FF"/>
      <w:u w:val="single"/>
    </w:rPr>
  </w:style>
  <w:style w:type="paragraph" w:customStyle="1" w:styleId="Default">
    <w:name w:val="Default"/>
    <w:rsid w:val="00494F44"/>
    <w:pPr>
      <w:autoSpaceDE w:val="0"/>
      <w:autoSpaceDN w:val="0"/>
      <w:adjustRightInd w:val="0"/>
    </w:pPr>
    <w:rPr>
      <w:rFonts w:ascii="Arial" w:hAnsi="Arial" w:cs="Arial"/>
      <w:color w:val="000000"/>
      <w:sz w:val="24"/>
      <w:szCs w:val="24"/>
    </w:rPr>
  </w:style>
  <w:style w:type="paragraph" w:styleId="NormalIndent">
    <w:name w:val="Normal Indent"/>
    <w:basedOn w:val="Normal"/>
    <w:rsid w:val="00DA3C2F"/>
    <w:pPr>
      <w:widowControl w:val="0"/>
      <w:spacing w:after="240"/>
      <w:ind w:left="720" w:hanging="720"/>
      <w:jc w:val="both"/>
    </w:pPr>
    <w:rPr>
      <w:sz w:val="22"/>
    </w:rPr>
  </w:style>
  <w:style w:type="character" w:styleId="FollowedHyperlink">
    <w:name w:val="FollowedHyperlink"/>
    <w:uiPriority w:val="99"/>
    <w:semiHidden/>
    <w:unhideWhenUsed/>
    <w:rsid w:val="00AB2B1C"/>
    <w:rPr>
      <w:color w:val="800080"/>
      <w:u w:val="single"/>
    </w:rPr>
  </w:style>
  <w:style w:type="character" w:styleId="Strong">
    <w:name w:val="Strong"/>
    <w:uiPriority w:val="22"/>
    <w:qFormat/>
    <w:rsid w:val="006B7AA7"/>
    <w:rPr>
      <w:b/>
      <w:bCs/>
    </w:rPr>
  </w:style>
  <w:style w:type="character" w:styleId="CommentReference">
    <w:name w:val="annotation reference"/>
    <w:basedOn w:val="DefaultParagraphFont"/>
    <w:uiPriority w:val="99"/>
    <w:semiHidden/>
    <w:unhideWhenUsed/>
    <w:rsid w:val="00293611"/>
    <w:rPr>
      <w:sz w:val="16"/>
      <w:szCs w:val="16"/>
    </w:rPr>
  </w:style>
  <w:style w:type="paragraph" w:styleId="CommentText">
    <w:name w:val="annotation text"/>
    <w:basedOn w:val="Normal"/>
    <w:link w:val="CommentTextChar"/>
    <w:uiPriority w:val="99"/>
    <w:unhideWhenUsed/>
    <w:rsid w:val="00293611"/>
    <w:rPr>
      <w:sz w:val="20"/>
    </w:rPr>
  </w:style>
  <w:style w:type="character" w:customStyle="1" w:styleId="CommentTextChar">
    <w:name w:val="Comment Text Char"/>
    <w:basedOn w:val="DefaultParagraphFont"/>
    <w:link w:val="CommentText"/>
    <w:uiPriority w:val="99"/>
    <w:rsid w:val="002936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3611"/>
    <w:rPr>
      <w:b/>
      <w:bCs/>
    </w:rPr>
  </w:style>
  <w:style w:type="character" w:customStyle="1" w:styleId="CommentSubjectChar">
    <w:name w:val="Comment Subject Char"/>
    <w:basedOn w:val="CommentTextChar"/>
    <w:link w:val="CommentSubject"/>
    <w:uiPriority w:val="99"/>
    <w:semiHidden/>
    <w:rsid w:val="0029361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472">
      <w:bodyDiv w:val="1"/>
      <w:marLeft w:val="0"/>
      <w:marRight w:val="0"/>
      <w:marTop w:val="0"/>
      <w:marBottom w:val="0"/>
      <w:divBdr>
        <w:top w:val="none" w:sz="0" w:space="0" w:color="auto"/>
        <w:left w:val="none" w:sz="0" w:space="0" w:color="auto"/>
        <w:bottom w:val="none" w:sz="0" w:space="0" w:color="auto"/>
        <w:right w:val="none" w:sz="0" w:space="0" w:color="auto"/>
      </w:divBdr>
    </w:div>
    <w:div w:id="239828767">
      <w:bodyDiv w:val="1"/>
      <w:marLeft w:val="0"/>
      <w:marRight w:val="0"/>
      <w:marTop w:val="0"/>
      <w:marBottom w:val="0"/>
      <w:divBdr>
        <w:top w:val="none" w:sz="0" w:space="0" w:color="auto"/>
        <w:left w:val="none" w:sz="0" w:space="0" w:color="auto"/>
        <w:bottom w:val="none" w:sz="0" w:space="0" w:color="auto"/>
        <w:right w:val="none" w:sz="0" w:space="0" w:color="auto"/>
      </w:divBdr>
      <w:divsChild>
        <w:div w:id="1228610889">
          <w:marLeft w:val="0"/>
          <w:marRight w:val="0"/>
          <w:marTop w:val="450"/>
          <w:marBottom w:val="0"/>
          <w:divBdr>
            <w:top w:val="single" w:sz="6" w:space="8" w:color="B1B4B6"/>
            <w:left w:val="none" w:sz="0" w:space="0" w:color="auto"/>
            <w:bottom w:val="none" w:sz="0" w:space="0" w:color="auto"/>
            <w:right w:val="none" w:sz="0" w:space="0" w:color="auto"/>
          </w:divBdr>
        </w:div>
      </w:divsChild>
    </w:div>
    <w:div w:id="283971172">
      <w:bodyDiv w:val="1"/>
      <w:marLeft w:val="0"/>
      <w:marRight w:val="0"/>
      <w:marTop w:val="0"/>
      <w:marBottom w:val="0"/>
      <w:divBdr>
        <w:top w:val="none" w:sz="0" w:space="0" w:color="auto"/>
        <w:left w:val="none" w:sz="0" w:space="0" w:color="auto"/>
        <w:bottom w:val="none" w:sz="0" w:space="0" w:color="auto"/>
        <w:right w:val="none" w:sz="0" w:space="0" w:color="auto"/>
      </w:divBdr>
    </w:div>
    <w:div w:id="320741059">
      <w:bodyDiv w:val="1"/>
      <w:marLeft w:val="0"/>
      <w:marRight w:val="0"/>
      <w:marTop w:val="0"/>
      <w:marBottom w:val="0"/>
      <w:divBdr>
        <w:top w:val="none" w:sz="0" w:space="0" w:color="auto"/>
        <w:left w:val="none" w:sz="0" w:space="0" w:color="auto"/>
        <w:bottom w:val="none" w:sz="0" w:space="0" w:color="auto"/>
        <w:right w:val="none" w:sz="0" w:space="0" w:color="auto"/>
      </w:divBdr>
    </w:div>
    <w:div w:id="423653809">
      <w:bodyDiv w:val="1"/>
      <w:marLeft w:val="0"/>
      <w:marRight w:val="0"/>
      <w:marTop w:val="0"/>
      <w:marBottom w:val="0"/>
      <w:divBdr>
        <w:top w:val="none" w:sz="0" w:space="0" w:color="auto"/>
        <w:left w:val="none" w:sz="0" w:space="0" w:color="auto"/>
        <w:bottom w:val="none" w:sz="0" w:space="0" w:color="auto"/>
        <w:right w:val="none" w:sz="0" w:space="0" w:color="auto"/>
      </w:divBdr>
    </w:div>
    <w:div w:id="620648835">
      <w:bodyDiv w:val="1"/>
      <w:marLeft w:val="0"/>
      <w:marRight w:val="0"/>
      <w:marTop w:val="0"/>
      <w:marBottom w:val="0"/>
      <w:divBdr>
        <w:top w:val="none" w:sz="0" w:space="0" w:color="auto"/>
        <w:left w:val="none" w:sz="0" w:space="0" w:color="auto"/>
        <w:bottom w:val="none" w:sz="0" w:space="0" w:color="auto"/>
        <w:right w:val="none" w:sz="0" w:space="0" w:color="auto"/>
      </w:divBdr>
    </w:div>
    <w:div w:id="703555908">
      <w:bodyDiv w:val="1"/>
      <w:marLeft w:val="0"/>
      <w:marRight w:val="0"/>
      <w:marTop w:val="0"/>
      <w:marBottom w:val="0"/>
      <w:divBdr>
        <w:top w:val="none" w:sz="0" w:space="0" w:color="auto"/>
        <w:left w:val="none" w:sz="0" w:space="0" w:color="auto"/>
        <w:bottom w:val="none" w:sz="0" w:space="0" w:color="auto"/>
        <w:right w:val="none" w:sz="0" w:space="0" w:color="auto"/>
      </w:divBdr>
    </w:div>
    <w:div w:id="785271812">
      <w:bodyDiv w:val="1"/>
      <w:marLeft w:val="0"/>
      <w:marRight w:val="0"/>
      <w:marTop w:val="0"/>
      <w:marBottom w:val="0"/>
      <w:divBdr>
        <w:top w:val="none" w:sz="0" w:space="0" w:color="auto"/>
        <w:left w:val="none" w:sz="0" w:space="0" w:color="auto"/>
        <w:bottom w:val="none" w:sz="0" w:space="0" w:color="auto"/>
        <w:right w:val="none" w:sz="0" w:space="0" w:color="auto"/>
      </w:divBdr>
    </w:div>
    <w:div w:id="980768943">
      <w:bodyDiv w:val="1"/>
      <w:marLeft w:val="0"/>
      <w:marRight w:val="0"/>
      <w:marTop w:val="0"/>
      <w:marBottom w:val="0"/>
      <w:divBdr>
        <w:top w:val="none" w:sz="0" w:space="0" w:color="auto"/>
        <w:left w:val="none" w:sz="0" w:space="0" w:color="auto"/>
        <w:bottom w:val="none" w:sz="0" w:space="0" w:color="auto"/>
        <w:right w:val="none" w:sz="0" w:space="0" w:color="auto"/>
      </w:divBdr>
    </w:div>
    <w:div w:id="1163662880">
      <w:bodyDiv w:val="1"/>
      <w:marLeft w:val="0"/>
      <w:marRight w:val="0"/>
      <w:marTop w:val="0"/>
      <w:marBottom w:val="0"/>
      <w:divBdr>
        <w:top w:val="none" w:sz="0" w:space="0" w:color="auto"/>
        <w:left w:val="none" w:sz="0" w:space="0" w:color="auto"/>
        <w:bottom w:val="none" w:sz="0" w:space="0" w:color="auto"/>
        <w:right w:val="none" w:sz="0" w:space="0" w:color="auto"/>
      </w:divBdr>
    </w:div>
    <w:div w:id="1184782612">
      <w:bodyDiv w:val="1"/>
      <w:marLeft w:val="0"/>
      <w:marRight w:val="0"/>
      <w:marTop w:val="0"/>
      <w:marBottom w:val="0"/>
      <w:divBdr>
        <w:top w:val="none" w:sz="0" w:space="0" w:color="auto"/>
        <w:left w:val="none" w:sz="0" w:space="0" w:color="auto"/>
        <w:bottom w:val="none" w:sz="0" w:space="0" w:color="auto"/>
        <w:right w:val="none" w:sz="0" w:space="0" w:color="auto"/>
      </w:divBdr>
    </w:div>
    <w:div w:id="1258102610">
      <w:bodyDiv w:val="1"/>
      <w:marLeft w:val="0"/>
      <w:marRight w:val="0"/>
      <w:marTop w:val="0"/>
      <w:marBottom w:val="0"/>
      <w:divBdr>
        <w:top w:val="none" w:sz="0" w:space="0" w:color="auto"/>
        <w:left w:val="none" w:sz="0" w:space="0" w:color="auto"/>
        <w:bottom w:val="none" w:sz="0" w:space="0" w:color="auto"/>
        <w:right w:val="none" w:sz="0" w:space="0" w:color="auto"/>
      </w:divBdr>
    </w:div>
    <w:div w:id="1413817355">
      <w:bodyDiv w:val="1"/>
      <w:marLeft w:val="0"/>
      <w:marRight w:val="0"/>
      <w:marTop w:val="0"/>
      <w:marBottom w:val="0"/>
      <w:divBdr>
        <w:top w:val="none" w:sz="0" w:space="0" w:color="auto"/>
        <w:left w:val="none" w:sz="0" w:space="0" w:color="auto"/>
        <w:bottom w:val="none" w:sz="0" w:space="0" w:color="auto"/>
        <w:right w:val="none" w:sz="0" w:space="0" w:color="auto"/>
      </w:divBdr>
    </w:div>
    <w:div w:id="1477915761">
      <w:bodyDiv w:val="1"/>
      <w:marLeft w:val="0"/>
      <w:marRight w:val="0"/>
      <w:marTop w:val="0"/>
      <w:marBottom w:val="0"/>
      <w:divBdr>
        <w:top w:val="none" w:sz="0" w:space="0" w:color="auto"/>
        <w:left w:val="none" w:sz="0" w:space="0" w:color="auto"/>
        <w:bottom w:val="none" w:sz="0" w:space="0" w:color="auto"/>
        <w:right w:val="none" w:sz="0" w:space="0" w:color="auto"/>
      </w:divBdr>
    </w:div>
    <w:div w:id="1502159947">
      <w:bodyDiv w:val="1"/>
      <w:marLeft w:val="0"/>
      <w:marRight w:val="0"/>
      <w:marTop w:val="0"/>
      <w:marBottom w:val="0"/>
      <w:divBdr>
        <w:top w:val="none" w:sz="0" w:space="0" w:color="auto"/>
        <w:left w:val="none" w:sz="0" w:space="0" w:color="auto"/>
        <w:bottom w:val="none" w:sz="0" w:space="0" w:color="auto"/>
        <w:right w:val="none" w:sz="0" w:space="0" w:color="auto"/>
      </w:divBdr>
    </w:div>
    <w:div w:id="1528329885">
      <w:bodyDiv w:val="1"/>
      <w:marLeft w:val="0"/>
      <w:marRight w:val="0"/>
      <w:marTop w:val="0"/>
      <w:marBottom w:val="0"/>
      <w:divBdr>
        <w:top w:val="none" w:sz="0" w:space="0" w:color="auto"/>
        <w:left w:val="none" w:sz="0" w:space="0" w:color="auto"/>
        <w:bottom w:val="none" w:sz="0" w:space="0" w:color="auto"/>
        <w:right w:val="none" w:sz="0" w:space="0" w:color="auto"/>
      </w:divBdr>
    </w:div>
    <w:div w:id="1580554661">
      <w:bodyDiv w:val="1"/>
      <w:marLeft w:val="0"/>
      <w:marRight w:val="0"/>
      <w:marTop w:val="0"/>
      <w:marBottom w:val="0"/>
      <w:divBdr>
        <w:top w:val="none" w:sz="0" w:space="0" w:color="auto"/>
        <w:left w:val="none" w:sz="0" w:space="0" w:color="auto"/>
        <w:bottom w:val="none" w:sz="0" w:space="0" w:color="auto"/>
        <w:right w:val="none" w:sz="0" w:space="0" w:color="auto"/>
      </w:divBdr>
    </w:div>
    <w:div w:id="1722897343">
      <w:bodyDiv w:val="1"/>
      <w:marLeft w:val="0"/>
      <w:marRight w:val="0"/>
      <w:marTop w:val="0"/>
      <w:marBottom w:val="0"/>
      <w:divBdr>
        <w:top w:val="none" w:sz="0" w:space="0" w:color="auto"/>
        <w:left w:val="none" w:sz="0" w:space="0" w:color="auto"/>
        <w:bottom w:val="none" w:sz="0" w:space="0" w:color="auto"/>
        <w:right w:val="none" w:sz="0" w:space="0" w:color="auto"/>
      </w:divBdr>
      <w:divsChild>
        <w:div w:id="1208107709">
          <w:marLeft w:val="0"/>
          <w:marRight w:val="0"/>
          <w:marTop w:val="0"/>
          <w:marBottom w:val="0"/>
          <w:divBdr>
            <w:top w:val="none" w:sz="0" w:space="0" w:color="auto"/>
            <w:left w:val="none" w:sz="0" w:space="0" w:color="auto"/>
            <w:bottom w:val="none" w:sz="0" w:space="0" w:color="auto"/>
            <w:right w:val="none" w:sz="0" w:space="0" w:color="auto"/>
          </w:divBdr>
          <w:divsChild>
            <w:div w:id="82797950">
              <w:marLeft w:val="0"/>
              <w:marRight w:val="0"/>
              <w:marTop w:val="0"/>
              <w:marBottom w:val="0"/>
              <w:divBdr>
                <w:top w:val="none" w:sz="0" w:space="0" w:color="auto"/>
                <w:left w:val="none" w:sz="0" w:space="0" w:color="auto"/>
                <w:bottom w:val="none" w:sz="0" w:space="0" w:color="auto"/>
                <w:right w:val="none" w:sz="0" w:space="0" w:color="auto"/>
              </w:divBdr>
              <w:divsChild>
                <w:div w:id="1511023640">
                  <w:marLeft w:val="0"/>
                  <w:marRight w:val="0"/>
                  <w:marTop w:val="0"/>
                  <w:marBottom w:val="0"/>
                  <w:divBdr>
                    <w:top w:val="none" w:sz="0" w:space="0" w:color="auto"/>
                    <w:left w:val="none" w:sz="0" w:space="0" w:color="auto"/>
                    <w:bottom w:val="none" w:sz="0" w:space="0" w:color="auto"/>
                    <w:right w:val="none" w:sz="0" w:space="0" w:color="auto"/>
                  </w:divBdr>
                  <w:divsChild>
                    <w:div w:id="734472924">
                      <w:marLeft w:val="0"/>
                      <w:marRight w:val="0"/>
                      <w:marTop w:val="0"/>
                      <w:marBottom w:val="0"/>
                      <w:divBdr>
                        <w:top w:val="none" w:sz="0" w:space="0" w:color="auto"/>
                        <w:left w:val="none" w:sz="0" w:space="0" w:color="auto"/>
                        <w:bottom w:val="none" w:sz="0" w:space="0" w:color="auto"/>
                        <w:right w:val="none" w:sz="0" w:space="0" w:color="auto"/>
                      </w:divBdr>
                      <w:divsChild>
                        <w:div w:id="536167146">
                          <w:marLeft w:val="0"/>
                          <w:marRight w:val="0"/>
                          <w:marTop w:val="0"/>
                          <w:marBottom w:val="0"/>
                          <w:divBdr>
                            <w:top w:val="none" w:sz="0" w:space="0" w:color="auto"/>
                            <w:left w:val="none" w:sz="0" w:space="0" w:color="auto"/>
                            <w:bottom w:val="none" w:sz="0" w:space="0" w:color="auto"/>
                            <w:right w:val="none" w:sz="0" w:space="0" w:color="auto"/>
                          </w:divBdr>
                          <w:divsChild>
                            <w:div w:id="579676203">
                              <w:marLeft w:val="0"/>
                              <w:marRight w:val="0"/>
                              <w:marTop w:val="0"/>
                              <w:marBottom w:val="0"/>
                              <w:divBdr>
                                <w:top w:val="none" w:sz="0" w:space="0" w:color="auto"/>
                                <w:left w:val="none" w:sz="0" w:space="0" w:color="auto"/>
                                <w:bottom w:val="none" w:sz="0" w:space="0" w:color="auto"/>
                                <w:right w:val="none" w:sz="0" w:space="0" w:color="auto"/>
                              </w:divBdr>
                              <w:divsChild>
                                <w:div w:id="1674989781">
                                  <w:marLeft w:val="0"/>
                                  <w:marRight w:val="0"/>
                                  <w:marTop w:val="0"/>
                                  <w:marBottom w:val="0"/>
                                  <w:divBdr>
                                    <w:top w:val="none" w:sz="0" w:space="0" w:color="auto"/>
                                    <w:left w:val="none" w:sz="0" w:space="0" w:color="auto"/>
                                    <w:bottom w:val="none" w:sz="0" w:space="0" w:color="auto"/>
                                    <w:right w:val="none" w:sz="0" w:space="0" w:color="auto"/>
                                  </w:divBdr>
                                  <w:divsChild>
                                    <w:div w:id="999043401">
                                      <w:marLeft w:val="0"/>
                                      <w:marRight w:val="0"/>
                                      <w:marTop w:val="0"/>
                                      <w:marBottom w:val="0"/>
                                      <w:divBdr>
                                        <w:top w:val="none" w:sz="0" w:space="0" w:color="auto"/>
                                        <w:left w:val="none" w:sz="0" w:space="0" w:color="auto"/>
                                        <w:bottom w:val="none" w:sz="0" w:space="0" w:color="auto"/>
                                        <w:right w:val="none" w:sz="0" w:space="0" w:color="auto"/>
                                      </w:divBdr>
                                      <w:divsChild>
                                        <w:div w:id="1585993839">
                                          <w:marLeft w:val="0"/>
                                          <w:marRight w:val="0"/>
                                          <w:marTop w:val="0"/>
                                          <w:marBottom w:val="0"/>
                                          <w:divBdr>
                                            <w:top w:val="none" w:sz="0" w:space="0" w:color="auto"/>
                                            <w:left w:val="none" w:sz="0" w:space="0" w:color="auto"/>
                                            <w:bottom w:val="none" w:sz="0" w:space="0" w:color="auto"/>
                                            <w:right w:val="none" w:sz="0" w:space="0" w:color="auto"/>
                                          </w:divBdr>
                                          <w:divsChild>
                                            <w:div w:id="1478105622">
                                              <w:marLeft w:val="0"/>
                                              <w:marRight w:val="0"/>
                                              <w:marTop w:val="0"/>
                                              <w:marBottom w:val="0"/>
                                              <w:divBdr>
                                                <w:top w:val="none" w:sz="0" w:space="0" w:color="auto"/>
                                                <w:left w:val="none" w:sz="0" w:space="0" w:color="auto"/>
                                                <w:bottom w:val="none" w:sz="0" w:space="0" w:color="auto"/>
                                                <w:right w:val="none" w:sz="0" w:space="0" w:color="auto"/>
                                              </w:divBdr>
                                              <w:divsChild>
                                                <w:div w:id="190001878">
                                                  <w:marLeft w:val="0"/>
                                                  <w:marRight w:val="0"/>
                                                  <w:marTop w:val="0"/>
                                                  <w:marBottom w:val="0"/>
                                                  <w:divBdr>
                                                    <w:top w:val="none" w:sz="0" w:space="0" w:color="auto"/>
                                                    <w:left w:val="none" w:sz="0" w:space="0" w:color="auto"/>
                                                    <w:bottom w:val="none" w:sz="0" w:space="0" w:color="auto"/>
                                                    <w:right w:val="none" w:sz="0" w:space="0" w:color="auto"/>
                                                  </w:divBdr>
                                                  <w:divsChild>
                                                    <w:div w:id="20146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4717047">
      <w:bodyDiv w:val="1"/>
      <w:marLeft w:val="0"/>
      <w:marRight w:val="0"/>
      <w:marTop w:val="0"/>
      <w:marBottom w:val="0"/>
      <w:divBdr>
        <w:top w:val="none" w:sz="0" w:space="0" w:color="auto"/>
        <w:left w:val="none" w:sz="0" w:space="0" w:color="auto"/>
        <w:bottom w:val="none" w:sz="0" w:space="0" w:color="auto"/>
        <w:right w:val="none" w:sz="0" w:space="0" w:color="auto"/>
      </w:divBdr>
    </w:div>
    <w:div w:id="2015302447">
      <w:bodyDiv w:val="1"/>
      <w:marLeft w:val="0"/>
      <w:marRight w:val="0"/>
      <w:marTop w:val="0"/>
      <w:marBottom w:val="0"/>
      <w:divBdr>
        <w:top w:val="none" w:sz="0" w:space="0" w:color="auto"/>
        <w:left w:val="none" w:sz="0" w:space="0" w:color="auto"/>
        <w:bottom w:val="none" w:sz="0" w:space="0" w:color="auto"/>
        <w:right w:val="none" w:sz="0" w:space="0" w:color="auto"/>
      </w:divBdr>
    </w:div>
    <w:div w:id="2047019050">
      <w:bodyDiv w:val="1"/>
      <w:marLeft w:val="0"/>
      <w:marRight w:val="0"/>
      <w:marTop w:val="0"/>
      <w:marBottom w:val="0"/>
      <w:divBdr>
        <w:top w:val="none" w:sz="0" w:space="0" w:color="auto"/>
        <w:left w:val="none" w:sz="0" w:space="0" w:color="auto"/>
        <w:bottom w:val="none" w:sz="0" w:space="0" w:color="auto"/>
        <w:right w:val="none" w:sz="0" w:space="0" w:color="auto"/>
      </w:divBdr>
    </w:div>
    <w:div w:id="2116557276">
      <w:bodyDiv w:val="1"/>
      <w:marLeft w:val="0"/>
      <w:marRight w:val="0"/>
      <w:marTop w:val="0"/>
      <w:marBottom w:val="0"/>
      <w:divBdr>
        <w:top w:val="none" w:sz="0" w:space="0" w:color="auto"/>
        <w:left w:val="none" w:sz="0" w:space="0" w:color="auto"/>
        <w:bottom w:val="none" w:sz="0" w:space="0" w:color="auto"/>
        <w:right w:val="none" w:sz="0" w:space="0" w:color="auto"/>
      </w:divBdr>
    </w:div>
    <w:div w:id="212857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99/27/section/3" TargetMode="External"/><Relationship Id="rId18" Type="http://schemas.openxmlformats.org/officeDocument/2006/relationships/hyperlink" Target="https://www.gov.uk/government/publications/special-severance-payments/statutory-guidance-on-the-making-and-disclosure-of-special-severance-payments-by-local-authorities-in-england" TargetMode="External"/><Relationship Id="rId26" Type="http://schemas.openxmlformats.org/officeDocument/2006/relationships/hyperlink" Target="https://www.gov.uk/government/publications/special-severance-payments/statutory-guidance-on-the-making-and-disclosure-of-special-severance-payments-by-local-authorities-in-england" TargetMode="External"/><Relationship Id="rId3" Type="http://schemas.openxmlformats.org/officeDocument/2006/relationships/styles" Target="styles.xml"/><Relationship Id="rId21" Type="http://schemas.openxmlformats.org/officeDocument/2006/relationships/hyperlink" Target="https://www.legislation.gov.uk/ukpga/1985/51/section/10" TargetMode="External"/><Relationship Id="rId7" Type="http://schemas.openxmlformats.org/officeDocument/2006/relationships/endnotes" Target="endnotes.xml"/><Relationship Id="rId12" Type="http://schemas.openxmlformats.org/officeDocument/2006/relationships/hyperlink" Target="https://www.gedling.gov.uk/media/gedlingboroughcouncil/documents/council/aboutus/policies/Pension%20Discretions%20Policy%20(July%202019).pdf" TargetMode="External"/><Relationship Id="rId17" Type="http://schemas.openxmlformats.org/officeDocument/2006/relationships/hyperlink" Target="https://www.gov.uk/government/publications/special-severance-payments/statutory-guidance-on-the-making-and-disclosure-of-special-severance-payments-by-local-authorities-in-england" TargetMode="External"/><Relationship Id="rId25" Type="http://schemas.openxmlformats.org/officeDocument/2006/relationships/hyperlink" Target="https://www.gov.uk/government/publications/special-severance-payments/statutory-guidance-on-the-making-and-disclosure-of-special-severance-payments-by-local-authorities-in-englan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pecial-severance-payments/statutory-guidance-on-the-making-and-disclosure-of-special-severance-payments-by-local-authorities-in-england" TargetMode="External"/><Relationship Id="rId20" Type="http://schemas.openxmlformats.org/officeDocument/2006/relationships/hyperlink" Target="https://www.legislation.gov.uk/ukpga/2004/21/section/2" TargetMode="External"/><Relationship Id="rId29" Type="http://schemas.openxmlformats.org/officeDocument/2006/relationships/hyperlink" Target="https://www.gov.uk/government/publications/openness-and-accountability-in-local-pay-supplementary-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dling.gov.uk/media/gedlingboroughcouncil/documents/council/aboutus/policies/Pension%20Discretions%20Policy%20(July%202019).pdf" TargetMode="External"/><Relationship Id="rId24" Type="http://schemas.openxmlformats.org/officeDocument/2006/relationships/hyperlink" Target="https://www.legislation.gov.uk/ukpga/2008/26/section/102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pecial-severance-payments/statutory-guidance-on-the-making-and-disclosure-of-special-severance-payments-by-local-authorities-in-england" TargetMode="External"/><Relationship Id="rId23" Type="http://schemas.openxmlformats.org/officeDocument/2006/relationships/hyperlink" Target="https://www.legislation.gov.uk/ukpga/2009/20/section/103" TargetMode="External"/><Relationship Id="rId28" Type="http://schemas.openxmlformats.org/officeDocument/2006/relationships/hyperlink" Target="https://www.gov.uk/government/publications/special-severance-payments/statutory-guidance-on-the-making-and-disclosure-of-special-severance-payments-by-local-authorities-in-england" TargetMode="External"/><Relationship Id="rId10" Type="http://schemas.openxmlformats.org/officeDocument/2006/relationships/hyperlink" Target="https://gender-pay-gap.service.gov.uk/" TargetMode="External"/><Relationship Id="rId19" Type="http://schemas.openxmlformats.org/officeDocument/2006/relationships/hyperlink" Target="https://www.gov.uk/government/publications/special-severance-payments/statutory-guidance-on-the-making-and-disclosure-of-special-severance-payments-by-local-authorities-in-england" TargetMode="External"/><Relationship Id="rId31" Type="http://schemas.openxmlformats.org/officeDocument/2006/relationships/hyperlink" Target="https://www.gov.uk/government/publications/special-severance-payments/statutory-guidance-on-the-making-and-disclosure-of-special-severance-payments-by-local-authorities-in-england" TargetMode="External"/><Relationship Id="rId4" Type="http://schemas.openxmlformats.org/officeDocument/2006/relationships/settings" Target="settings.xml"/><Relationship Id="rId9" Type="http://schemas.openxmlformats.org/officeDocument/2006/relationships/hyperlink" Target="http://www.gedling.gov.uk/council/aboutus/financeandaccounts/opendata/genderpaygapdata/" TargetMode="External"/><Relationship Id="rId14" Type="http://schemas.openxmlformats.org/officeDocument/2006/relationships/hyperlink" Target="https://www.gov.uk/government/publications/special-severance-payments/statutory-guidance-on-the-making-and-disclosure-of-special-severance-payments-by-local-authorities-in-england" TargetMode="External"/><Relationship Id="rId22" Type="http://schemas.openxmlformats.org/officeDocument/2006/relationships/hyperlink" Target="https://www.legislation.gov.uk/ukpga/2009/20/section/88" TargetMode="External"/><Relationship Id="rId27" Type="http://schemas.openxmlformats.org/officeDocument/2006/relationships/hyperlink" Target="https://www.gov.uk/government/publications/local-government-transparency-code-2015" TargetMode="External"/><Relationship Id="rId30" Type="http://schemas.openxmlformats.org/officeDocument/2006/relationships/hyperlink" Target="https://www.gov.uk/government/publications/special-severance-payments/statutory-guidance-on-the-making-and-disclosure-of-special-severance-payments-by-local-authorities-in-england" TargetMode="External"/><Relationship Id="rId8" Type="http://schemas.openxmlformats.org/officeDocument/2006/relationships/hyperlink" Target="https://www.gov.uk/guidance/gender-pay-gap-reporting-what-employers-must-pub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31737-E72D-46C2-A7E6-8FB5FB0E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20704</Words>
  <Characters>118018</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138446</CharactersWithSpaces>
  <SharedDoc>false</SharedDoc>
  <HLinks>
    <vt:vector size="42" baseType="variant">
      <vt:variant>
        <vt:i4>1310740</vt:i4>
      </vt:variant>
      <vt:variant>
        <vt:i4>18</vt:i4>
      </vt:variant>
      <vt:variant>
        <vt:i4>0</vt:i4>
      </vt:variant>
      <vt:variant>
        <vt:i4>5</vt:i4>
      </vt:variant>
      <vt:variant>
        <vt:lpwstr>https://www.gedling.gov.uk/media/gedlingboroughcouncil/documents/council/aboutus/policies/Pension Discretions Policy (July 2019).pdf</vt:lpwstr>
      </vt:variant>
      <vt:variant>
        <vt:lpwstr/>
      </vt:variant>
      <vt:variant>
        <vt:i4>1310740</vt:i4>
      </vt:variant>
      <vt:variant>
        <vt:i4>15</vt:i4>
      </vt:variant>
      <vt:variant>
        <vt:i4>0</vt:i4>
      </vt:variant>
      <vt:variant>
        <vt:i4>5</vt:i4>
      </vt:variant>
      <vt:variant>
        <vt:lpwstr>https://www.gedling.gov.uk/media/gedlingboroughcouncil/documents/council/aboutus/policies/Pension Discretions Policy (July 2019).pdf</vt:lpwstr>
      </vt:variant>
      <vt:variant>
        <vt:lpwstr/>
      </vt:variant>
      <vt:variant>
        <vt:i4>3801206</vt:i4>
      </vt:variant>
      <vt:variant>
        <vt:i4>12</vt:i4>
      </vt:variant>
      <vt:variant>
        <vt:i4>0</vt:i4>
      </vt:variant>
      <vt:variant>
        <vt:i4>5</vt:i4>
      </vt:variant>
      <vt:variant>
        <vt:lpwstr>https://gender-pay-gap.service.gov.uk/</vt:lpwstr>
      </vt:variant>
      <vt:variant>
        <vt:lpwstr/>
      </vt:variant>
      <vt:variant>
        <vt:i4>2621544</vt:i4>
      </vt:variant>
      <vt:variant>
        <vt:i4>9</vt:i4>
      </vt:variant>
      <vt:variant>
        <vt:i4>0</vt:i4>
      </vt:variant>
      <vt:variant>
        <vt:i4>5</vt:i4>
      </vt:variant>
      <vt:variant>
        <vt:lpwstr>http://www.gedling.gov.uk/council/aboutus/financeandaccounts/opendata/genderpaygapdata/</vt:lpwstr>
      </vt:variant>
      <vt:variant>
        <vt:lpwstr/>
      </vt:variant>
      <vt:variant>
        <vt:i4>6029380</vt:i4>
      </vt:variant>
      <vt:variant>
        <vt:i4>6</vt:i4>
      </vt:variant>
      <vt:variant>
        <vt:i4>0</vt:i4>
      </vt:variant>
      <vt:variant>
        <vt:i4>5</vt:i4>
      </vt:variant>
      <vt:variant>
        <vt:lpwstr>https://www.gov.uk/guidance/gender-pay-gap-reporting-what-employers-must-publish</vt:lpwstr>
      </vt:variant>
      <vt:variant>
        <vt:lpwstr/>
      </vt:variant>
      <vt:variant>
        <vt:i4>4325461</vt:i4>
      </vt:variant>
      <vt:variant>
        <vt:i4>3</vt:i4>
      </vt:variant>
      <vt:variant>
        <vt:i4>0</vt:i4>
      </vt:variant>
      <vt:variant>
        <vt:i4>5</vt:i4>
      </vt:variant>
      <vt:variant>
        <vt:lpwstr>https://www.gov.uk/report-gender-pay-gap-data</vt:lpwstr>
      </vt:variant>
      <vt:variant>
        <vt:lpwstr/>
      </vt:variant>
      <vt:variant>
        <vt:i4>6029380</vt:i4>
      </vt:variant>
      <vt:variant>
        <vt:i4>0</vt:i4>
      </vt:variant>
      <vt:variant>
        <vt:i4>0</vt:i4>
      </vt:variant>
      <vt:variant>
        <vt:i4>5</vt:i4>
      </vt:variant>
      <vt:variant>
        <vt:lpwstr>https://www.gov.uk/guidance/gender-pay-gap-reporting-what-employers-must-publish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da3</dc:creator>
  <cp:keywords/>
  <cp:lastModifiedBy>David Archer</cp:lastModifiedBy>
  <cp:revision>4</cp:revision>
  <cp:lastPrinted>2018-11-08T15:17:00Z</cp:lastPrinted>
  <dcterms:created xsi:type="dcterms:W3CDTF">2023-12-12T16:56:00Z</dcterms:created>
  <dcterms:modified xsi:type="dcterms:W3CDTF">2024-01-25T09:19:00Z</dcterms:modified>
</cp:coreProperties>
</file>